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bidi w:val="0"/>
        <w:spacing w:line="360" w:lineRule="auto"/>
        <w:ind w:left="-120" w:leftChars="-50" w:right="-120" w:rightChars="-50"/>
        <w:jc w:val="center"/>
        <w:textAlignment w:val="auto"/>
        <w:rPr>
          <w:b/>
          <w:sz w:val="44"/>
          <w:szCs w:val="48"/>
        </w:rPr>
      </w:pPr>
    </w:p>
    <w:p>
      <w:pPr>
        <w:pageBreakBefore w:val="0"/>
        <w:kinsoku/>
        <w:wordWrap/>
        <w:overflowPunct/>
        <w:topLinePunct w:val="0"/>
        <w:autoSpaceDE/>
        <w:bidi w:val="0"/>
        <w:spacing w:line="360" w:lineRule="auto"/>
        <w:ind w:left="-120" w:leftChars="-50" w:right="-120" w:rightChars="-50"/>
        <w:jc w:val="center"/>
        <w:textAlignment w:val="auto"/>
        <w:rPr>
          <w:b/>
          <w:sz w:val="44"/>
          <w:szCs w:val="48"/>
        </w:rPr>
      </w:pPr>
    </w:p>
    <w:p>
      <w:pPr>
        <w:pageBreakBefore w:val="0"/>
        <w:kinsoku/>
        <w:wordWrap/>
        <w:overflowPunct/>
        <w:topLinePunct w:val="0"/>
        <w:autoSpaceDE/>
        <w:bidi w:val="0"/>
        <w:spacing w:line="360" w:lineRule="auto"/>
        <w:ind w:left="-120" w:leftChars="-50" w:right="-120" w:rightChars="-50"/>
        <w:jc w:val="center"/>
        <w:textAlignment w:val="auto"/>
        <w:rPr>
          <w:b/>
          <w:sz w:val="44"/>
          <w:szCs w:val="48"/>
        </w:rPr>
      </w:pPr>
    </w:p>
    <w:p>
      <w:pPr>
        <w:pageBreakBefore w:val="0"/>
        <w:kinsoku/>
        <w:wordWrap/>
        <w:overflowPunct/>
        <w:topLinePunct w:val="0"/>
        <w:autoSpaceDE/>
        <w:bidi w:val="0"/>
        <w:spacing w:line="600" w:lineRule="auto"/>
        <w:ind w:left="-120" w:leftChars="-50" w:right="-120" w:rightChars="-50"/>
        <w:jc w:val="center"/>
        <w:textAlignment w:val="auto"/>
        <w:rPr>
          <w:b/>
          <w:sz w:val="44"/>
          <w:szCs w:val="48"/>
        </w:rPr>
      </w:pPr>
      <w:r>
        <w:rPr>
          <w:b/>
          <w:sz w:val="44"/>
          <w:szCs w:val="48"/>
        </w:rPr>
        <w:t>农业行业标准</w:t>
      </w:r>
    </w:p>
    <w:p>
      <w:pPr>
        <w:pageBreakBefore w:val="0"/>
        <w:kinsoku/>
        <w:wordWrap/>
        <w:overflowPunct/>
        <w:topLinePunct w:val="0"/>
        <w:autoSpaceDE/>
        <w:bidi w:val="0"/>
        <w:spacing w:line="600" w:lineRule="auto"/>
        <w:ind w:right="-120" w:rightChars="-50"/>
        <w:jc w:val="center"/>
        <w:textAlignment w:val="auto"/>
        <w:rPr>
          <w:rFonts w:ascii="宋体" w:hAnsi="宋体"/>
          <w:b/>
          <w:sz w:val="40"/>
          <w:szCs w:val="44"/>
        </w:rPr>
      </w:pPr>
      <w:r>
        <w:rPr>
          <w:rFonts w:ascii="宋体" w:hAnsi="宋体"/>
          <w:b/>
          <w:sz w:val="40"/>
          <w:szCs w:val="44"/>
        </w:rPr>
        <w:t>《</w:t>
      </w:r>
      <w:r>
        <w:rPr>
          <w:rFonts w:hint="eastAsia" w:ascii="宋体" w:hAnsi="宋体"/>
          <w:b/>
          <w:sz w:val="40"/>
          <w:szCs w:val="44"/>
        </w:rPr>
        <w:t>生乳中铅</w:t>
      </w:r>
      <w:r>
        <w:rPr>
          <w:rFonts w:hint="eastAsia" w:ascii="宋体" w:hAnsi="宋体"/>
          <w:b/>
          <w:sz w:val="40"/>
          <w:szCs w:val="44"/>
          <w:lang w:val="en-US" w:eastAsia="zh-CN"/>
        </w:rPr>
        <w:t>的</w:t>
      </w:r>
      <w:r>
        <w:rPr>
          <w:rFonts w:hint="eastAsia" w:ascii="宋体" w:hAnsi="宋体"/>
          <w:b/>
          <w:sz w:val="40"/>
          <w:szCs w:val="44"/>
        </w:rPr>
        <w:t>控制技术规范</w:t>
      </w:r>
      <w:r>
        <w:rPr>
          <w:rFonts w:ascii="宋体" w:hAnsi="宋体"/>
          <w:b/>
          <w:sz w:val="40"/>
          <w:szCs w:val="44"/>
        </w:rPr>
        <w:t>》</w:t>
      </w:r>
    </w:p>
    <w:p>
      <w:pPr>
        <w:pageBreakBefore w:val="0"/>
        <w:kinsoku/>
        <w:wordWrap/>
        <w:overflowPunct/>
        <w:topLinePunct w:val="0"/>
        <w:autoSpaceDE/>
        <w:bidi w:val="0"/>
        <w:spacing w:line="600" w:lineRule="auto"/>
        <w:ind w:left="-120" w:leftChars="-50" w:right="-120" w:rightChars="-50"/>
        <w:jc w:val="center"/>
        <w:textAlignment w:val="auto"/>
        <w:rPr>
          <w:b/>
          <w:sz w:val="44"/>
          <w:szCs w:val="48"/>
        </w:rPr>
      </w:pPr>
      <w:r>
        <w:rPr>
          <w:rFonts w:hint="eastAsia"/>
          <w:b/>
          <w:sz w:val="44"/>
          <w:szCs w:val="48"/>
        </w:rPr>
        <w:t>（</w:t>
      </w:r>
      <w:r>
        <w:rPr>
          <w:rFonts w:hint="eastAsia"/>
          <w:b/>
          <w:sz w:val="44"/>
          <w:szCs w:val="48"/>
          <w:lang w:val="en-US" w:eastAsia="zh-CN"/>
        </w:rPr>
        <w:t>公开征求意见</w:t>
      </w:r>
      <w:r>
        <w:rPr>
          <w:b/>
          <w:sz w:val="44"/>
          <w:szCs w:val="48"/>
        </w:rPr>
        <w:t>稿）</w:t>
      </w:r>
    </w:p>
    <w:p>
      <w:pPr>
        <w:pageBreakBefore w:val="0"/>
        <w:kinsoku/>
        <w:wordWrap/>
        <w:overflowPunct/>
        <w:topLinePunct w:val="0"/>
        <w:autoSpaceDE/>
        <w:bidi w:val="0"/>
        <w:spacing w:line="600" w:lineRule="auto"/>
        <w:jc w:val="center"/>
        <w:textAlignment w:val="auto"/>
        <w:rPr>
          <w:b/>
          <w:sz w:val="44"/>
          <w:szCs w:val="48"/>
        </w:rPr>
      </w:pPr>
      <w:r>
        <w:rPr>
          <w:b/>
          <w:sz w:val="44"/>
          <w:szCs w:val="48"/>
        </w:rPr>
        <w:t>编制说明</w:t>
      </w:r>
    </w:p>
    <w:p>
      <w:pPr>
        <w:pageBreakBefore w:val="0"/>
        <w:kinsoku/>
        <w:wordWrap/>
        <w:overflowPunct/>
        <w:topLinePunct w:val="0"/>
        <w:autoSpaceDE/>
        <w:bidi w:val="0"/>
        <w:spacing w:line="360" w:lineRule="auto"/>
        <w:jc w:val="center"/>
        <w:textAlignment w:val="auto"/>
        <w:rPr>
          <w:b/>
          <w:sz w:val="44"/>
          <w:szCs w:val="48"/>
        </w:rPr>
      </w:pPr>
    </w:p>
    <w:p>
      <w:pPr>
        <w:pageBreakBefore w:val="0"/>
        <w:kinsoku/>
        <w:wordWrap/>
        <w:overflowPunct/>
        <w:topLinePunct w:val="0"/>
        <w:autoSpaceDE/>
        <w:bidi w:val="0"/>
        <w:spacing w:line="360" w:lineRule="auto"/>
        <w:textAlignment w:val="auto"/>
        <w:rPr>
          <w:b/>
          <w:sz w:val="52"/>
          <w:szCs w:val="52"/>
        </w:rPr>
      </w:pPr>
    </w:p>
    <w:p>
      <w:pPr>
        <w:pageBreakBefore w:val="0"/>
        <w:kinsoku/>
        <w:wordWrap/>
        <w:overflowPunct/>
        <w:topLinePunct w:val="0"/>
        <w:autoSpaceDE/>
        <w:bidi w:val="0"/>
        <w:spacing w:line="360" w:lineRule="auto"/>
        <w:textAlignment w:val="auto"/>
        <w:rPr>
          <w:b/>
          <w:sz w:val="52"/>
          <w:szCs w:val="52"/>
        </w:rPr>
      </w:pPr>
    </w:p>
    <w:p>
      <w:pPr>
        <w:pageBreakBefore w:val="0"/>
        <w:kinsoku/>
        <w:wordWrap/>
        <w:overflowPunct/>
        <w:topLinePunct w:val="0"/>
        <w:autoSpaceDE/>
        <w:bidi w:val="0"/>
        <w:spacing w:line="360" w:lineRule="auto"/>
        <w:textAlignment w:val="auto"/>
        <w:rPr>
          <w:b/>
          <w:sz w:val="52"/>
          <w:szCs w:val="52"/>
        </w:rPr>
      </w:pPr>
    </w:p>
    <w:p>
      <w:pPr>
        <w:pageBreakBefore w:val="0"/>
        <w:kinsoku/>
        <w:wordWrap/>
        <w:overflowPunct/>
        <w:topLinePunct w:val="0"/>
        <w:autoSpaceDE/>
        <w:bidi w:val="0"/>
        <w:spacing w:line="360" w:lineRule="auto"/>
        <w:textAlignment w:val="auto"/>
        <w:rPr>
          <w:b/>
          <w:sz w:val="52"/>
          <w:szCs w:val="52"/>
        </w:rPr>
      </w:pPr>
    </w:p>
    <w:p>
      <w:pPr>
        <w:pageBreakBefore w:val="0"/>
        <w:kinsoku/>
        <w:wordWrap/>
        <w:overflowPunct/>
        <w:topLinePunct w:val="0"/>
        <w:autoSpaceDE/>
        <w:bidi w:val="0"/>
        <w:spacing w:line="360" w:lineRule="auto"/>
        <w:jc w:val="center"/>
        <w:textAlignment w:val="auto"/>
        <w:rPr>
          <w:b/>
          <w:sz w:val="52"/>
          <w:szCs w:val="52"/>
        </w:rPr>
      </w:pPr>
    </w:p>
    <w:p>
      <w:pPr>
        <w:pageBreakBefore w:val="0"/>
        <w:kinsoku/>
        <w:wordWrap/>
        <w:overflowPunct/>
        <w:topLinePunct w:val="0"/>
        <w:autoSpaceDE/>
        <w:bidi w:val="0"/>
        <w:spacing w:line="360" w:lineRule="auto"/>
        <w:ind w:right="-7" w:rightChars="-3"/>
        <w:jc w:val="center"/>
        <w:textAlignment w:val="auto"/>
        <w:rPr>
          <w:rFonts w:hint="eastAsia" w:ascii="仿宋" w:hAnsi="仿宋" w:eastAsia="仿宋" w:cs="仿宋"/>
          <w:b w:val="0"/>
          <w:bCs/>
          <w:sz w:val="32"/>
          <w:szCs w:val="36"/>
        </w:rPr>
      </w:pPr>
      <w:r>
        <w:rPr>
          <w:rFonts w:hint="eastAsia" w:ascii="仿宋" w:hAnsi="仿宋" w:eastAsia="仿宋" w:cs="仿宋"/>
          <w:b w:val="0"/>
          <w:bCs/>
          <w:sz w:val="32"/>
          <w:szCs w:val="36"/>
        </w:rPr>
        <w:t>中国农业科学院北京畜牧兽医研究所</w:t>
      </w:r>
    </w:p>
    <w:p>
      <w:pPr>
        <w:pageBreakBefore w:val="0"/>
        <w:kinsoku/>
        <w:wordWrap/>
        <w:overflowPunct/>
        <w:topLinePunct w:val="0"/>
        <w:autoSpaceDE/>
        <w:bidi w:val="0"/>
        <w:spacing w:line="360" w:lineRule="auto"/>
        <w:ind w:right="-7" w:rightChars="-3"/>
        <w:jc w:val="center"/>
        <w:textAlignment w:val="auto"/>
        <w:rPr>
          <w:rFonts w:hint="eastAsia" w:ascii="仿宋" w:hAnsi="仿宋" w:eastAsia="仿宋" w:cs="仿宋"/>
          <w:b w:val="0"/>
          <w:bCs/>
          <w:sz w:val="32"/>
          <w:szCs w:val="36"/>
        </w:rPr>
      </w:pPr>
      <w:r>
        <w:rPr>
          <w:rFonts w:hint="eastAsia" w:ascii="仿宋" w:hAnsi="仿宋" w:eastAsia="仿宋" w:cs="仿宋"/>
          <w:b w:val="0"/>
          <w:bCs/>
          <w:sz w:val="32"/>
          <w:szCs w:val="36"/>
        </w:rPr>
        <w:t>农业农村部奶产品质量安全风险评估实验室（北京）</w:t>
      </w:r>
    </w:p>
    <w:p>
      <w:pPr>
        <w:pageBreakBefore w:val="0"/>
        <w:kinsoku/>
        <w:wordWrap/>
        <w:overflowPunct/>
        <w:topLinePunct w:val="0"/>
        <w:autoSpaceDE/>
        <w:bidi w:val="0"/>
        <w:spacing w:line="360" w:lineRule="auto"/>
        <w:ind w:right="-7" w:rightChars="-3"/>
        <w:jc w:val="center"/>
        <w:textAlignment w:val="auto"/>
        <w:rPr>
          <w:rFonts w:hint="eastAsia" w:ascii="仿宋" w:hAnsi="仿宋" w:eastAsia="仿宋" w:cs="仿宋"/>
          <w:b w:val="0"/>
          <w:bCs/>
          <w:sz w:val="32"/>
          <w:szCs w:val="36"/>
        </w:rPr>
      </w:pPr>
      <w:r>
        <w:rPr>
          <w:rFonts w:hint="eastAsia" w:ascii="仿宋" w:hAnsi="仿宋" w:eastAsia="仿宋" w:cs="仿宋"/>
          <w:b w:val="0"/>
          <w:bCs/>
          <w:sz w:val="32"/>
          <w:szCs w:val="36"/>
        </w:rPr>
        <w:t>农业农村部奶及奶制品质量监督检验测试中心（北京）</w:t>
      </w:r>
    </w:p>
    <w:p>
      <w:pPr>
        <w:pageBreakBefore w:val="0"/>
        <w:kinsoku/>
        <w:wordWrap/>
        <w:overflowPunct/>
        <w:topLinePunct w:val="0"/>
        <w:autoSpaceDE/>
        <w:bidi w:val="0"/>
        <w:spacing w:line="360" w:lineRule="auto"/>
        <w:ind w:right="-7" w:rightChars="-3"/>
        <w:jc w:val="center"/>
        <w:textAlignment w:val="auto"/>
        <w:rPr>
          <w:b/>
          <w:sz w:val="32"/>
          <w:szCs w:val="36"/>
        </w:rPr>
      </w:pPr>
      <w:r>
        <w:rPr>
          <w:rFonts w:hint="eastAsia" w:ascii="仿宋" w:hAnsi="仿宋" w:eastAsia="仿宋" w:cs="仿宋"/>
          <w:b w:val="0"/>
          <w:bCs/>
          <w:sz w:val="32"/>
          <w:szCs w:val="36"/>
        </w:rPr>
        <w:t>山东省农业科学院农业质量标准与检测技术研究所</w:t>
      </w:r>
    </w:p>
    <w:p>
      <w:pPr>
        <w:pageBreakBefore w:val="0"/>
        <w:kinsoku/>
        <w:wordWrap/>
        <w:overflowPunct/>
        <w:topLinePunct w:val="0"/>
        <w:autoSpaceDE/>
        <w:bidi w:val="0"/>
        <w:spacing w:line="360" w:lineRule="auto"/>
        <w:jc w:val="center"/>
        <w:textAlignment w:val="auto"/>
        <w:rPr>
          <w:b/>
          <w:sz w:val="36"/>
          <w:szCs w:val="36"/>
        </w:rPr>
      </w:pPr>
    </w:p>
    <w:p>
      <w:pPr>
        <w:pStyle w:val="30"/>
        <w:pageBreakBefore w:val="0"/>
        <w:widowControl/>
        <w:kinsoku/>
        <w:wordWrap/>
        <w:overflowPunct/>
        <w:topLinePunct w:val="0"/>
        <w:autoSpaceDE/>
        <w:autoSpaceDN/>
        <w:bidi w:val="0"/>
        <w:adjustRightInd w:val="0"/>
        <w:snapToGrid w:val="0"/>
        <w:spacing w:before="0" w:beforeLines="0" w:after="0" w:afterLines="0" w:line="360" w:lineRule="auto"/>
        <w:ind w:firstLine="0" w:firstLineChars="0"/>
        <w:textAlignment w:val="auto"/>
        <w:rPr>
          <w:color w:val="000000"/>
        </w:rPr>
        <w:sectPr>
          <w:footerReference r:id="rId3" w:type="default"/>
          <w:pgSz w:w="11906" w:h="16838"/>
          <w:pgMar w:top="1440" w:right="1800" w:bottom="1440" w:left="1800" w:header="851" w:footer="992" w:gutter="0"/>
          <w:cols w:space="425" w:num="1"/>
          <w:docGrid w:type="lines" w:linePitch="312" w:charSpace="0"/>
        </w:sectPr>
      </w:pPr>
    </w:p>
    <w:p>
      <w:pPr>
        <w:pStyle w:val="30"/>
        <w:pageBreakBefore w:val="0"/>
        <w:widowControl/>
        <w:kinsoku/>
        <w:wordWrap/>
        <w:overflowPunct/>
        <w:topLinePunct w:val="0"/>
        <w:autoSpaceDE/>
        <w:autoSpaceDN/>
        <w:bidi w:val="0"/>
        <w:adjustRightInd w:val="0"/>
        <w:snapToGrid w:val="0"/>
        <w:spacing w:before="0" w:beforeLines="0" w:after="0" w:afterLines="0" w:line="360" w:lineRule="auto"/>
        <w:ind w:firstLine="0" w:firstLineChars="0"/>
        <w:textAlignment w:val="auto"/>
        <w:rPr>
          <w:color w:val="000000"/>
        </w:rPr>
      </w:pPr>
      <w:r>
        <w:rPr>
          <w:color w:val="000000"/>
        </w:rPr>
        <w:t>一、</w:t>
      </w:r>
      <w:r>
        <w:rPr>
          <w:rFonts w:hint="eastAsia"/>
          <w:color w:val="000000"/>
          <w:lang w:val="en-US" w:eastAsia="zh-CN"/>
        </w:rPr>
        <w:t>立项</w:t>
      </w:r>
      <w:r>
        <w:rPr>
          <w:color w:val="000000"/>
        </w:rPr>
        <w:t>背景及任务来源</w:t>
      </w:r>
    </w:p>
    <w:p>
      <w:pPr>
        <w:pStyle w:val="31"/>
        <w:pageBreakBefore w:val="0"/>
        <w:widowControl/>
        <w:kinsoku/>
        <w:wordWrap/>
        <w:overflowPunct/>
        <w:topLinePunct w:val="0"/>
        <w:autoSpaceDE/>
        <w:autoSpaceDN/>
        <w:bidi w:val="0"/>
        <w:adjustRightInd w:val="0"/>
        <w:snapToGrid w:val="0"/>
        <w:spacing w:before="0" w:beforeLines="0" w:after="0" w:afterLines="0" w:line="360" w:lineRule="auto"/>
        <w:ind w:firstLine="0" w:firstLineChars="0"/>
        <w:textAlignment w:val="auto"/>
        <w:rPr>
          <w:rFonts w:hint="eastAsia"/>
          <w:color w:val="000000"/>
        </w:rPr>
      </w:pPr>
      <w:r>
        <w:rPr>
          <w:rFonts w:hint="eastAsia"/>
          <w:color w:val="000000"/>
          <w:lang w:eastAsia="zh-CN"/>
        </w:rPr>
        <w:t>（</w:t>
      </w:r>
      <w:r>
        <w:rPr>
          <w:rFonts w:hint="eastAsia"/>
          <w:color w:val="000000"/>
          <w:lang w:val="en-US" w:eastAsia="zh-CN"/>
        </w:rPr>
        <w:t>一）立项</w:t>
      </w:r>
      <w:r>
        <w:rPr>
          <w:color w:val="000000"/>
        </w:rPr>
        <w:t>背景</w:t>
      </w:r>
    </w:p>
    <w:p>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2019年我国奶类产量3201万吨，比2018年增长4.1%</w:t>
      </w:r>
      <w:r>
        <w:rPr>
          <w:rFonts w:hint="default" w:ascii="Times New Roman" w:hAnsi="Times New Roman" w:eastAsia="仿宋" w:cs="Times New Roman"/>
          <w:sz w:val="28"/>
          <w:szCs w:val="28"/>
          <w:lang w:val="en-US" w:eastAsia="zh-CN"/>
        </w:rPr>
        <w:t>,</w:t>
      </w:r>
      <w:r>
        <w:rPr>
          <w:rFonts w:hint="default" w:ascii="Times New Roman" w:hAnsi="Times New Roman" w:eastAsia="仿宋" w:cs="Times New Roman"/>
          <w:sz w:val="28"/>
          <w:szCs w:val="28"/>
        </w:rPr>
        <w:t>仅次于印度和美国，居世界第三位。奶业已经成为关系到</w:t>
      </w:r>
      <w:r>
        <w:rPr>
          <w:rFonts w:hint="default" w:ascii="Times New Roman" w:hAnsi="Times New Roman" w:eastAsia="仿宋" w:cs="Times New Roman"/>
          <w:sz w:val="28"/>
          <w:szCs w:val="28"/>
          <w:lang w:eastAsia="zh-CN"/>
        </w:rPr>
        <w:t>国</w:t>
      </w:r>
      <w:r>
        <w:rPr>
          <w:rFonts w:hint="default" w:ascii="Times New Roman" w:hAnsi="Times New Roman" w:eastAsia="仿宋" w:cs="Times New Roman"/>
          <w:sz w:val="28"/>
          <w:szCs w:val="28"/>
        </w:rPr>
        <w:t>民健康的重要产业。作为乳及乳制品的生产原料，生乳的质量安全问题更是不容忽视。</w:t>
      </w:r>
    </w:p>
    <w:p>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铅属于蓄积性毒物，在6类重金属污染物中毒性位居首位，被世界卫生组织认为是潜在的致癌物质之一。据报道，世界上每年因铅暴露造成的死亡病例</w:t>
      </w:r>
      <w:r>
        <w:rPr>
          <w:rFonts w:hint="default" w:ascii="Times New Roman" w:hAnsi="Times New Roman" w:eastAsia="仿宋" w:cs="Times New Roman"/>
          <w:sz w:val="28"/>
          <w:szCs w:val="28"/>
          <w:lang w:eastAsia="zh-CN"/>
        </w:rPr>
        <w:t>约</w:t>
      </w:r>
      <w:r>
        <w:rPr>
          <w:rFonts w:hint="default" w:ascii="Times New Roman" w:hAnsi="Times New Roman" w:eastAsia="仿宋" w:cs="Times New Roman"/>
          <w:sz w:val="28"/>
          <w:szCs w:val="28"/>
        </w:rPr>
        <w:t>14.3万，因铅暴露所导致的新增智力障碍病例约60万，0.6%的疾病因铅暴露引起，其中99%的铅暴露发生在发展中国家。尽管对铅中毒的影响已有广泛的认识，许多国家也已开始采取行动，但铅暴露仍然是世界各国重点关注的公共卫生问题。</w:t>
      </w:r>
    </w:p>
    <w:p>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生乳作为乳及乳制品的生产原料，其中铅含量将直接影响乳及乳制品中铅的含量。生乳中铅的安全隐患主要来源于各生产环节，其风险水平与饲料、水等投入品、生产环境、饲养管理等密切相关。此外，生乳在采集、运输、加工过程中也存在偶然污染的情况。</w:t>
      </w:r>
      <w:r>
        <w:rPr>
          <w:rFonts w:hint="default" w:ascii="Times New Roman" w:hAnsi="Times New Roman" w:eastAsia="仿宋" w:cs="Times New Roman"/>
          <w:sz w:val="28"/>
          <w:szCs w:val="28"/>
          <w:lang w:eastAsia="zh-CN"/>
        </w:rPr>
        <w:t>标准起草</w:t>
      </w:r>
      <w:r>
        <w:rPr>
          <w:rFonts w:hint="default" w:ascii="Times New Roman" w:hAnsi="Times New Roman" w:eastAsia="仿宋" w:cs="Times New Roman"/>
          <w:sz w:val="28"/>
          <w:szCs w:val="28"/>
        </w:rPr>
        <w:t>组2019年对全国2516批次生乳中铅检测结果发现1批次超过国家限量标准，137批次检出，检出率为5.45%（表1）。另外，</w:t>
      </w:r>
      <w:r>
        <w:rPr>
          <w:rFonts w:hint="default" w:ascii="Times New Roman" w:hAnsi="Times New Roman" w:eastAsia="仿宋" w:cs="Times New Roman"/>
          <w:sz w:val="28"/>
          <w:szCs w:val="28"/>
          <w:lang w:eastAsia="zh-CN"/>
        </w:rPr>
        <w:t>标准起草</w:t>
      </w:r>
      <w:r>
        <w:rPr>
          <w:rFonts w:hint="default" w:ascii="Times New Roman" w:hAnsi="Times New Roman" w:eastAsia="仿宋" w:cs="Times New Roman"/>
          <w:sz w:val="28"/>
          <w:szCs w:val="28"/>
        </w:rPr>
        <w:t>组通过调查发现，在唐山工业污染区生产的牛奶中铅含量（1.43 μg/L）显著高于齐齐哈尔未污染区生产的牛奶中测得的铅含量（0.16 μg/L）（Zhou等，2019）。特别值</w:t>
      </w:r>
      <w:r>
        <w:rPr>
          <w:rFonts w:hint="default" w:ascii="Times New Roman" w:hAnsi="Times New Roman" w:eastAsia="仿宋" w:cs="Times New Roman"/>
          <w:sz w:val="28"/>
          <w:szCs w:val="28"/>
          <w:lang w:val="en-US" w:eastAsia="zh-CN"/>
        </w:rPr>
        <w:t>得</w:t>
      </w:r>
      <w:r>
        <w:rPr>
          <w:rFonts w:hint="default" w:ascii="Times New Roman" w:hAnsi="Times New Roman" w:eastAsia="仿宋" w:cs="Times New Roman"/>
          <w:sz w:val="28"/>
          <w:szCs w:val="28"/>
        </w:rPr>
        <w:t>一提的是婴幼儿对铅等重金属较为敏感，低剂量也易发生明显的毒害作用，而乳及乳制品是婴幼儿唯一或主要食物来源，因此，生乳中铅含量更应该引起关注。</w:t>
      </w:r>
    </w:p>
    <w:p>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各国政府和国际组织分别对本国和本组织成员国规定了生乳中铅的限量值</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《食品安全国家标准 食品中污染物限量》GB</w:t>
      </w:r>
      <w:r>
        <w:rPr>
          <w:rFonts w:hint="default" w:ascii="Times New Roman" w:hAnsi="Times New Roman" w:eastAsia="仿宋" w:cs="Times New Roman"/>
          <w:sz w:val="28"/>
          <w:szCs w:val="28"/>
          <w:lang w:val="en-US" w:eastAsia="zh-CN"/>
        </w:rPr>
        <w:t xml:space="preserve"> </w:t>
      </w:r>
      <w:r>
        <w:rPr>
          <w:rFonts w:hint="default" w:ascii="Times New Roman" w:hAnsi="Times New Roman" w:eastAsia="仿宋" w:cs="Times New Roman"/>
          <w:sz w:val="28"/>
          <w:szCs w:val="28"/>
        </w:rPr>
        <w:t>2762-2017也做了相关规定。但是经调研发现，目前国内外尚无针对生乳中铅污染控制的技术规范。因此，为了有效控制生乳中铅的污染，保障生乳质量安全，有必要建立生乳中铅控制技术规范，以消除生乳铅安全隐患，赢得消费者的信心，促进我国奶业健康发展。</w:t>
      </w:r>
    </w:p>
    <w:p>
      <w:pPr>
        <w:pageBreakBefore w:val="0"/>
        <w:kinsoku/>
        <w:wordWrap/>
        <w:overflowPunct/>
        <w:topLinePunct w:val="0"/>
        <w:autoSpaceDE/>
        <w:bidi w:val="0"/>
        <w:spacing w:line="360" w:lineRule="auto"/>
        <w:ind w:firstLine="525" w:firstLineChars="250"/>
        <w:jc w:val="center"/>
        <w:textAlignment w:val="auto"/>
        <w:rPr>
          <w:sz w:val="21"/>
          <w:szCs w:val="21"/>
        </w:rPr>
      </w:pPr>
      <w:r>
        <w:rPr>
          <w:rFonts w:hint="eastAsia"/>
          <w:sz w:val="21"/>
          <w:szCs w:val="21"/>
        </w:rPr>
        <w:t>2</w:t>
      </w:r>
      <w:r>
        <w:rPr>
          <w:sz w:val="21"/>
          <w:szCs w:val="21"/>
        </w:rPr>
        <w:t>019</w:t>
      </w:r>
      <w:r>
        <w:rPr>
          <w:rFonts w:hint="eastAsia"/>
          <w:sz w:val="21"/>
          <w:szCs w:val="21"/>
        </w:rPr>
        <w:t>年生乳中铅检测结</w:t>
      </w:r>
      <w:r>
        <w:rPr>
          <w:sz w:val="21"/>
          <w:szCs w:val="21"/>
        </w:rPr>
        <w:t>果</w:t>
      </w:r>
      <w:r>
        <w:rPr>
          <w:rFonts w:hint="eastAsia"/>
          <w:sz w:val="21"/>
          <w:szCs w:val="21"/>
        </w:rPr>
        <w:t>汇总</w:t>
      </w: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64"/>
        <w:gridCol w:w="1619"/>
        <w:gridCol w:w="1613"/>
        <w:gridCol w:w="1663"/>
        <w:gridCol w:w="15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664" w:type="dxa"/>
            <w:vAlign w:val="center"/>
          </w:tcPr>
          <w:p>
            <w:pPr>
              <w:pageBreakBefore w:val="0"/>
              <w:kinsoku/>
              <w:wordWrap/>
              <w:overflowPunct/>
              <w:topLinePunct w:val="0"/>
              <w:autoSpaceDE/>
              <w:bidi w:val="0"/>
              <w:spacing w:line="360" w:lineRule="auto"/>
              <w:textAlignment w:val="auto"/>
              <w:rPr>
                <w:b/>
                <w:bCs/>
                <w:kern w:val="2"/>
                <w:sz w:val="21"/>
                <w:szCs w:val="21"/>
              </w:rPr>
            </w:pPr>
          </w:p>
        </w:tc>
        <w:tc>
          <w:tcPr>
            <w:tcW w:w="1619" w:type="dxa"/>
            <w:vAlign w:val="center"/>
          </w:tcPr>
          <w:p>
            <w:pPr>
              <w:pageBreakBefore w:val="0"/>
              <w:kinsoku/>
              <w:wordWrap/>
              <w:overflowPunct/>
              <w:topLinePunct w:val="0"/>
              <w:autoSpaceDE/>
              <w:bidi w:val="0"/>
              <w:spacing w:line="360" w:lineRule="auto"/>
              <w:jc w:val="center"/>
              <w:textAlignment w:val="auto"/>
              <w:rPr>
                <w:b/>
                <w:bCs/>
                <w:kern w:val="2"/>
                <w:sz w:val="21"/>
                <w:szCs w:val="21"/>
              </w:rPr>
            </w:pPr>
            <w:r>
              <w:rPr>
                <w:b/>
                <w:bCs/>
                <w:kern w:val="2"/>
                <w:sz w:val="21"/>
                <w:szCs w:val="21"/>
              </w:rPr>
              <w:t>生牛乳</w:t>
            </w:r>
          </w:p>
        </w:tc>
        <w:tc>
          <w:tcPr>
            <w:tcW w:w="1613" w:type="dxa"/>
            <w:vAlign w:val="center"/>
          </w:tcPr>
          <w:p>
            <w:pPr>
              <w:pageBreakBefore w:val="0"/>
              <w:kinsoku/>
              <w:wordWrap/>
              <w:overflowPunct/>
              <w:topLinePunct w:val="0"/>
              <w:autoSpaceDE/>
              <w:bidi w:val="0"/>
              <w:spacing w:line="360" w:lineRule="auto"/>
              <w:jc w:val="center"/>
              <w:textAlignment w:val="auto"/>
              <w:rPr>
                <w:b/>
                <w:bCs/>
                <w:kern w:val="2"/>
                <w:sz w:val="21"/>
                <w:szCs w:val="21"/>
              </w:rPr>
            </w:pPr>
            <w:r>
              <w:rPr>
                <w:b/>
                <w:bCs/>
                <w:kern w:val="2"/>
                <w:sz w:val="21"/>
                <w:szCs w:val="21"/>
              </w:rPr>
              <w:t>生羊乳</w:t>
            </w:r>
          </w:p>
        </w:tc>
        <w:tc>
          <w:tcPr>
            <w:tcW w:w="1663" w:type="dxa"/>
            <w:vAlign w:val="center"/>
          </w:tcPr>
          <w:p>
            <w:pPr>
              <w:pageBreakBefore w:val="0"/>
              <w:kinsoku/>
              <w:wordWrap/>
              <w:overflowPunct/>
              <w:topLinePunct w:val="0"/>
              <w:autoSpaceDE/>
              <w:bidi w:val="0"/>
              <w:spacing w:line="360" w:lineRule="auto"/>
              <w:jc w:val="center"/>
              <w:textAlignment w:val="auto"/>
              <w:rPr>
                <w:b/>
                <w:bCs/>
                <w:kern w:val="2"/>
                <w:sz w:val="21"/>
                <w:szCs w:val="21"/>
              </w:rPr>
            </w:pPr>
            <w:r>
              <w:rPr>
                <w:b/>
                <w:bCs/>
                <w:kern w:val="2"/>
                <w:sz w:val="21"/>
                <w:szCs w:val="21"/>
              </w:rPr>
              <w:t>生水牛乳</w:t>
            </w:r>
          </w:p>
        </w:tc>
        <w:tc>
          <w:tcPr>
            <w:tcW w:w="1569" w:type="dxa"/>
            <w:vAlign w:val="center"/>
          </w:tcPr>
          <w:p>
            <w:pPr>
              <w:pageBreakBefore w:val="0"/>
              <w:kinsoku/>
              <w:wordWrap/>
              <w:overflowPunct/>
              <w:topLinePunct w:val="0"/>
              <w:autoSpaceDE/>
              <w:bidi w:val="0"/>
              <w:spacing w:line="360" w:lineRule="auto"/>
              <w:jc w:val="center"/>
              <w:textAlignment w:val="auto"/>
              <w:rPr>
                <w:b/>
                <w:bCs/>
                <w:kern w:val="2"/>
                <w:sz w:val="21"/>
                <w:szCs w:val="21"/>
              </w:rPr>
            </w:pPr>
            <w:r>
              <w:rPr>
                <w:b/>
                <w:bCs/>
                <w:kern w:val="2"/>
                <w:sz w:val="21"/>
                <w:szCs w:val="21"/>
              </w:rPr>
              <w:t>合计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664"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检测批次</w:t>
            </w:r>
          </w:p>
        </w:tc>
        <w:tc>
          <w:tcPr>
            <w:tcW w:w="161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2309</w:t>
            </w:r>
          </w:p>
        </w:tc>
        <w:tc>
          <w:tcPr>
            <w:tcW w:w="161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195</w:t>
            </w:r>
          </w:p>
        </w:tc>
        <w:tc>
          <w:tcPr>
            <w:tcW w:w="166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12</w:t>
            </w:r>
          </w:p>
        </w:tc>
        <w:tc>
          <w:tcPr>
            <w:tcW w:w="156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2516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664"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合格批次</w:t>
            </w:r>
          </w:p>
        </w:tc>
        <w:tc>
          <w:tcPr>
            <w:tcW w:w="161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2308</w:t>
            </w:r>
          </w:p>
        </w:tc>
        <w:tc>
          <w:tcPr>
            <w:tcW w:w="161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195</w:t>
            </w:r>
          </w:p>
        </w:tc>
        <w:tc>
          <w:tcPr>
            <w:tcW w:w="166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12</w:t>
            </w:r>
          </w:p>
        </w:tc>
        <w:tc>
          <w:tcPr>
            <w:tcW w:w="156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2515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664"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不合格批次</w:t>
            </w:r>
          </w:p>
        </w:tc>
        <w:tc>
          <w:tcPr>
            <w:tcW w:w="161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1</w:t>
            </w:r>
          </w:p>
        </w:tc>
        <w:tc>
          <w:tcPr>
            <w:tcW w:w="161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0</w:t>
            </w:r>
          </w:p>
        </w:tc>
        <w:tc>
          <w:tcPr>
            <w:tcW w:w="166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0</w:t>
            </w:r>
          </w:p>
        </w:tc>
        <w:tc>
          <w:tcPr>
            <w:tcW w:w="156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664"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检出批次</w:t>
            </w:r>
          </w:p>
        </w:tc>
        <w:tc>
          <w:tcPr>
            <w:tcW w:w="161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109</w:t>
            </w:r>
          </w:p>
        </w:tc>
        <w:tc>
          <w:tcPr>
            <w:tcW w:w="161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20</w:t>
            </w:r>
          </w:p>
        </w:tc>
        <w:tc>
          <w:tcPr>
            <w:tcW w:w="166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8</w:t>
            </w:r>
          </w:p>
        </w:tc>
        <w:tc>
          <w:tcPr>
            <w:tcW w:w="156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137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664"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检出率</w:t>
            </w:r>
            <w:r>
              <w:rPr>
                <w:rFonts w:hint="eastAsia"/>
                <w:kern w:val="2"/>
                <w:sz w:val="21"/>
                <w:szCs w:val="21"/>
                <w:lang w:val="en-US" w:eastAsia="zh-CN"/>
              </w:rPr>
              <w:t>/</w:t>
            </w:r>
            <w:r>
              <w:rPr>
                <w:kern w:val="2"/>
                <w:sz w:val="21"/>
                <w:szCs w:val="21"/>
              </w:rPr>
              <w:t>%</w:t>
            </w:r>
          </w:p>
        </w:tc>
        <w:tc>
          <w:tcPr>
            <w:tcW w:w="161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4.72</w:t>
            </w:r>
          </w:p>
        </w:tc>
        <w:tc>
          <w:tcPr>
            <w:tcW w:w="161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10.26</w:t>
            </w:r>
          </w:p>
        </w:tc>
        <w:tc>
          <w:tcPr>
            <w:tcW w:w="166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66.67</w:t>
            </w:r>
          </w:p>
        </w:tc>
        <w:tc>
          <w:tcPr>
            <w:tcW w:w="156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5.45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664"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最大值</w:t>
            </w:r>
            <w:r>
              <w:rPr>
                <w:rFonts w:hint="eastAsia"/>
                <w:kern w:val="2"/>
                <w:sz w:val="21"/>
                <w:szCs w:val="21"/>
                <w:lang w:val="en-US" w:eastAsia="zh-CN"/>
              </w:rPr>
              <w:t>/</w:t>
            </w:r>
            <w:r>
              <w:rPr>
                <w:rFonts w:hint="eastAsia"/>
                <w:kern w:val="2"/>
                <w:sz w:val="21"/>
                <w:szCs w:val="21"/>
              </w:rPr>
              <w:t>（</w:t>
            </w:r>
            <w:r>
              <w:rPr>
                <w:kern w:val="2"/>
                <w:sz w:val="21"/>
                <w:szCs w:val="21"/>
              </w:rPr>
              <w:t>mg/kg）</w:t>
            </w:r>
          </w:p>
        </w:tc>
        <w:tc>
          <w:tcPr>
            <w:tcW w:w="161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0.0722</w:t>
            </w:r>
          </w:p>
        </w:tc>
        <w:tc>
          <w:tcPr>
            <w:tcW w:w="161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0.0394</w:t>
            </w:r>
          </w:p>
        </w:tc>
        <w:tc>
          <w:tcPr>
            <w:tcW w:w="1663" w:type="dxa"/>
            <w:vAlign w:val="center"/>
          </w:tcPr>
          <w:p>
            <w:pPr>
              <w:pageBreakBefore w:val="0"/>
              <w:kinsoku/>
              <w:wordWrap/>
              <w:overflowPunct/>
              <w:topLinePunct w:val="0"/>
              <w:autoSpaceDE/>
              <w:bidi w:val="0"/>
              <w:spacing w:line="360" w:lineRule="auto"/>
              <w:jc w:val="center"/>
              <w:textAlignment w:val="auto"/>
              <w:rPr>
                <w:kern w:val="2"/>
                <w:sz w:val="21"/>
                <w:szCs w:val="21"/>
              </w:rPr>
            </w:pPr>
            <w:r>
              <w:rPr>
                <w:rFonts w:hint="eastAsia"/>
                <w:kern w:val="2"/>
                <w:sz w:val="21"/>
                <w:szCs w:val="21"/>
              </w:rPr>
              <w:t>-</w:t>
            </w:r>
          </w:p>
        </w:tc>
        <w:tc>
          <w:tcPr>
            <w:tcW w:w="156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0.0722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664"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平均值</w:t>
            </w:r>
            <w:r>
              <w:rPr>
                <w:rFonts w:hint="eastAsia"/>
                <w:kern w:val="2"/>
                <w:sz w:val="21"/>
                <w:szCs w:val="21"/>
                <w:lang w:val="en-US" w:eastAsia="zh-CN"/>
              </w:rPr>
              <w:t>/</w:t>
            </w:r>
            <w:r>
              <w:rPr>
                <w:rFonts w:hint="eastAsia"/>
                <w:kern w:val="2"/>
                <w:sz w:val="21"/>
                <w:szCs w:val="21"/>
              </w:rPr>
              <w:t>（</w:t>
            </w:r>
            <w:r>
              <w:rPr>
                <w:kern w:val="2"/>
                <w:sz w:val="21"/>
                <w:szCs w:val="21"/>
              </w:rPr>
              <w:t>mg/kg）</w:t>
            </w:r>
          </w:p>
        </w:tc>
        <w:tc>
          <w:tcPr>
            <w:tcW w:w="161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0.027</w:t>
            </w:r>
          </w:p>
        </w:tc>
        <w:tc>
          <w:tcPr>
            <w:tcW w:w="1613"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0.034</w:t>
            </w:r>
          </w:p>
        </w:tc>
        <w:tc>
          <w:tcPr>
            <w:tcW w:w="1663" w:type="dxa"/>
            <w:vAlign w:val="center"/>
          </w:tcPr>
          <w:p>
            <w:pPr>
              <w:pageBreakBefore w:val="0"/>
              <w:kinsoku/>
              <w:wordWrap/>
              <w:overflowPunct/>
              <w:topLinePunct w:val="0"/>
              <w:autoSpaceDE/>
              <w:bidi w:val="0"/>
              <w:spacing w:line="360" w:lineRule="auto"/>
              <w:jc w:val="center"/>
              <w:textAlignment w:val="auto"/>
              <w:rPr>
                <w:kern w:val="2"/>
                <w:sz w:val="21"/>
                <w:szCs w:val="21"/>
              </w:rPr>
            </w:pPr>
            <w:r>
              <w:rPr>
                <w:rFonts w:hint="eastAsia"/>
                <w:kern w:val="2"/>
                <w:sz w:val="21"/>
                <w:szCs w:val="21"/>
              </w:rPr>
              <w:t>-</w:t>
            </w:r>
          </w:p>
        </w:tc>
        <w:tc>
          <w:tcPr>
            <w:tcW w:w="1569" w:type="dxa"/>
            <w:vAlign w:val="center"/>
          </w:tcPr>
          <w:p>
            <w:pPr>
              <w:pageBreakBefore w:val="0"/>
              <w:kinsoku/>
              <w:wordWrap/>
              <w:overflowPunct/>
              <w:topLinePunct w:val="0"/>
              <w:autoSpaceDE/>
              <w:bidi w:val="0"/>
              <w:spacing w:line="360" w:lineRule="auto"/>
              <w:jc w:val="center"/>
              <w:textAlignment w:val="auto"/>
              <w:rPr>
                <w:kern w:val="2"/>
                <w:sz w:val="21"/>
                <w:szCs w:val="21"/>
              </w:rPr>
            </w:pPr>
            <w:r>
              <w:rPr>
                <w:kern w:val="2"/>
                <w:sz w:val="21"/>
                <w:szCs w:val="21"/>
              </w:rPr>
              <w:t>0.028</w:t>
            </w:r>
          </w:p>
        </w:tc>
      </w:tr>
    </w:tbl>
    <w:p>
      <w:pPr>
        <w:pStyle w:val="31"/>
        <w:keepNext/>
        <w:keepLines/>
        <w:pageBreakBefore w:val="0"/>
        <w:widowControl/>
        <w:kinsoku/>
        <w:wordWrap/>
        <w:overflowPunct/>
        <w:topLinePunct w:val="0"/>
        <w:autoSpaceDE/>
        <w:autoSpaceDN/>
        <w:bidi w:val="0"/>
        <w:adjustRightInd w:val="0"/>
        <w:snapToGrid w:val="0"/>
        <w:spacing w:before="0" w:beforeLines="0" w:after="0" w:afterLines="0" w:line="360" w:lineRule="auto"/>
        <w:ind w:firstLine="0" w:firstLineChars="0"/>
        <w:textAlignment w:val="auto"/>
        <w:rPr>
          <w:rFonts w:hint="eastAsia"/>
          <w:color w:val="000000"/>
        </w:rPr>
      </w:pPr>
      <w:r>
        <w:rPr>
          <w:rFonts w:hint="eastAsia"/>
          <w:color w:val="000000"/>
          <w:lang w:eastAsia="zh-CN"/>
        </w:rPr>
        <w:t>（</w:t>
      </w:r>
      <w:r>
        <w:rPr>
          <w:rFonts w:hint="eastAsia"/>
          <w:color w:val="000000"/>
          <w:lang w:val="en-US" w:eastAsia="zh-CN"/>
        </w:rPr>
        <w:t>二）</w:t>
      </w:r>
      <w:r>
        <w:rPr>
          <w:rFonts w:hint="eastAsia"/>
          <w:color w:val="000000"/>
        </w:rPr>
        <w:t>任务来源</w:t>
      </w:r>
    </w:p>
    <w:p>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both"/>
        <w:textAlignment w:val="auto"/>
        <w:rPr>
          <w:rFonts w:hint="default" w:ascii="Times New Roman" w:hAnsi="Times New Roman" w:eastAsia="仿宋_GB2312" w:cs="Times New Roman"/>
          <w:iCs/>
          <w:color w:val="000000"/>
          <w:sz w:val="28"/>
          <w:szCs w:val="28"/>
        </w:rPr>
      </w:pPr>
      <w:r>
        <w:rPr>
          <w:rFonts w:hint="default" w:ascii="Times New Roman" w:hAnsi="Times New Roman" w:eastAsia="仿宋_GB2312" w:cs="Times New Roman"/>
          <w:iCs/>
          <w:color w:val="000000"/>
          <w:sz w:val="28"/>
          <w:szCs w:val="28"/>
        </w:rPr>
        <w:t>农业行业标准《生乳中铅的控制技术规范》的起草任务来自《农业农村部办公厅关于下达20</w:t>
      </w:r>
      <w:r>
        <w:rPr>
          <w:rFonts w:hint="eastAsia" w:eastAsia="仿宋_GB2312" w:cs="Times New Roman"/>
          <w:iCs/>
          <w:color w:val="000000"/>
          <w:sz w:val="28"/>
          <w:szCs w:val="28"/>
          <w:lang w:val="en-US" w:eastAsia="zh-CN"/>
        </w:rPr>
        <w:t>20</w:t>
      </w:r>
      <w:r>
        <w:rPr>
          <w:rFonts w:hint="default" w:ascii="Times New Roman" w:hAnsi="Times New Roman" w:eastAsia="仿宋_GB2312" w:cs="Times New Roman"/>
          <w:iCs/>
          <w:color w:val="000000"/>
          <w:sz w:val="28"/>
          <w:szCs w:val="28"/>
        </w:rPr>
        <w:t>年农业国家、行业标准制定和修订项目任务的通知》（农办质〔20</w:t>
      </w:r>
      <w:r>
        <w:rPr>
          <w:rFonts w:hint="default" w:ascii="Times New Roman" w:hAnsi="Times New Roman" w:eastAsia="仿宋_GB2312" w:cs="Times New Roman"/>
          <w:iCs/>
          <w:color w:val="000000"/>
          <w:sz w:val="28"/>
          <w:szCs w:val="28"/>
          <w:lang w:val="en-US" w:eastAsia="zh-CN"/>
        </w:rPr>
        <w:t>20</w:t>
      </w:r>
      <w:r>
        <w:rPr>
          <w:rFonts w:hint="default" w:ascii="Times New Roman" w:hAnsi="Times New Roman" w:eastAsia="仿宋_GB2312" w:cs="Times New Roman"/>
          <w:iCs/>
          <w:color w:val="000000"/>
          <w:sz w:val="28"/>
          <w:szCs w:val="28"/>
        </w:rPr>
        <w:t>〕</w:t>
      </w:r>
      <w:r>
        <w:rPr>
          <w:rFonts w:hint="default" w:ascii="Times New Roman" w:hAnsi="Times New Roman" w:eastAsia="仿宋_GB2312" w:cs="Times New Roman"/>
          <w:iCs/>
          <w:color w:val="000000"/>
          <w:sz w:val="28"/>
          <w:szCs w:val="28"/>
          <w:lang w:val="en-US" w:eastAsia="zh-CN"/>
        </w:rPr>
        <w:t>1</w:t>
      </w:r>
      <w:r>
        <w:rPr>
          <w:rFonts w:hint="default" w:ascii="Times New Roman" w:hAnsi="Times New Roman" w:eastAsia="仿宋_GB2312" w:cs="Times New Roman"/>
          <w:iCs/>
          <w:color w:val="000000"/>
          <w:sz w:val="28"/>
          <w:szCs w:val="28"/>
        </w:rPr>
        <w:t>2</w:t>
      </w:r>
      <w:r>
        <w:rPr>
          <w:rFonts w:hint="default" w:ascii="Times New Roman" w:hAnsi="Times New Roman" w:eastAsia="仿宋_GB2312" w:cs="Times New Roman"/>
          <w:iCs/>
          <w:color w:val="000000"/>
          <w:sz w:val="28"/>
          <w:szCs w:val="28"/>
          <w:lang w:val="en-US" w:eastAsia="zh-CN"/>
        </w:rPr>
        <w:t>8</w:t>
      </w:r>
      <w:r>
        <w:rPr>
          <w:rFonts w:hint="default" w:ascii="Times New Roman" w:hAnsi="Times New Roman" w:eastAsia="仿宋_GB2312" w:cs="Times New Roman"/>
          <w:iCs/>
          <w:color w:val="000000"/>
          <w:sz w:val="28"/>
          <w:szCs w:val="28"/>
        </w:rPr>
        <w:t>号），项目</w:t>
      </w:r>
      <w:r>
        <w:rPr>
          <w:rFonts w:hint="default" w:ascii="Times New Roman" w:hAnsi="Times New Roman" w:eastAsia="仿宋_GB2312" w:cs="Times New Roman"/>
          <w:iCs/>
          <w:color w:val="000000"/>
          <w:sz w:val="28"/>
          <w:szCs w:val="28"/>
          <w:lang w:eastAsia="zh-CN"/>
        </w:rPr>
        <w:t>计划</w:t>
      </w:r>
      <w:r>
        <w:rPr>
          <w:rFonts w:hint="default" w:ascii="Times New Roman" w:hAnsi="Times New Roman" w:eastAsia="仿宋_GB2312" w:cs="Times New Roman"/>
          <w:iCs/>
          <w:color w:val="000000"/>
          <w:sz w:val="28"/>
          <w:szCs w:val="28"/>
        </w:rPr>
        <w:t>号为农办质〔20</w:t>
      </w:r>
      <w:r>
        <w:rPr>
          <w:rFonts w:hint="default" w:ascii="Times New Roman" w:hAnsi="Times New Roman" w:eastAsia="仿宋_GB2312" w:cs="Times New Roman"/>
          <w:iCs/>
          <w:color w:val="000000"/>
          <w:sz w:val="28"/>
          <w:szCs w:val="28"/>
          <w:lang w:val="en-US" w:eastAsia="zh-CN"/>
        </w:rPr>
        <w:t>20</w:t>
      </w:r>
      <w:r>
        <w:rPr>
          <w:rFonts w:hint="default" w:ascii="Times New Roman" w:hAnsi="Times New Roman" w:eastAsia="仿宋_GB2312" w:cs="Times New Roman"/>
          <w:iCs/>
          <w:color w:val="000000"/>
          <w:sz w:val="28"/>
          <w:szCs w:val="28"/>
        </w:rPr>
        <w:t>〕</w:t>
      </w:r>
      <w:r>
        <w:rPr>
          <w:rFonts w:hint="default" w:ascii="Times New Roman" w:hAnsi="Times New Roman" w:eastAsia="仿宋_GB2312" w:cs="Times New Roman"/>
          <w:iCs/>
          <w:color w:val="000000"/>
          <w:sz w:val="28"/>
          <w:szCs w:val="28"/>
          <w:lang w:val="en-US" w:eastAsia="zh-CN"/>
        </w:rPr>
        <w:t>1</w:t>
      </w:r>
      <w:r>
        <w:rPr>
          <w:rFonts w:hint="default" w:ascii="Times New Roman" w:hAnsi="Times New Roman" w:eastAsia="仿宋_GB2312" w:cs="Times New Roman"/>
          <w:iCs/>
          <w:color w:val="000000"/>
          <w:sz w:val="28"/>
          <w:szCs w:val="28"/>
        </w:rPr>
        <w:t>2</w:t>
      </w:r>
      <w:r>
        <w:rPr>
          <w:rFonts w:hint="default" w:ascii="Times New Roman" w:hAnsi="Times New Roman" w:eastAsia="仿宋_GB2312" w:cs="Times New Roman"/>
          <w:iCs/>
          <w:color w:val="000000"/>
          <w:sz w:val="28"/>
          <w:szCs w:val="28"/>
          <w:lang w:val="en-US" w:eastAsia="zh-CN"/>
        </w:rPr>
        <w:t>8</w:t>
      </w:r>
      <w:r>
        <w:rPr>
          <w:rFonts w:hint="default" w:ascii="Times New Roman" w:hAnsi="Times New Roman" w:eastAsia="仿宋_GB2312" w:cs="Times New Roman"/>
          <w:iCs/>
          <w:color w:val="000000"/>
          <w:sz w:val="28"/>
          <w:szCs w:val="28"/>
        </w:rPr>
        <w:t>号</w:t>
      </w:r>
      <w:r>
        <w:rPr>
          <w:rFonts w:hint="default" w:ascii="Times New Roman" w:hAnsi="Times New Roman" w:eastAsia="仿宋_GB2312" w:cs="Times New Roman"/>
          <w:iCs/>
          <w:color w:val="000000"/>
          <w:sz w:val="28"/>
          <w:szCs w:val="28"/>
          <w:lang w:val="en-US" w:eastAsia="zh-CN"/>
        </w:rPr>
        <w:t>2020421，项目名称为《生乳中重金属铅的生产过程控制技术规范》</w:t>
      </w:r>
      <w:r>
        <w:rPr>
          <w:rFonts w:hint="default" w:ascii="Times New Roman" w:hAnsi="Times New Roman" w:eastAsia="仿宋_GB2312" w:cs="Times New Roman"/>
          <w:iCs/>
          <w:color w:val="000000"/>
          <w:sz w:val="28"/>
          <w:szCs w:val="28"/>
          <w:lang w:eastAsia="zh-CN"/>
        </w:rPr>
        <w:t>，</w:t>
      </w:r>
      <w:r>
        <w:rPr>
          <w:rFonts w:hint="default" w:ascii="Times New Roman" w:hAnsi="Times New Roman" w:eastAsia="仿宋_GB2312" w:cs="Times New Roman"/>
          <w:iCs/>
          <w:color w:val="000000"/>
          <w:sz w:val="28"/>
          <w:szCs w:val="28"/>
        </w:rPr>
        <w:t>由中国农业科学院北京畜牧兽医研究所</w:t>
      </w:r>
      <w:r>
        <w:rPr>
          <w:rFonts w:hint="default" w:ascii="Times New Roman" w:hAnsi="Times New Roman" w:eastAsia="仿宋_GB2312" w:cs="Times New Roman"/>
          <w:iCs/>
          <w:color w:val="000000"/>
          <w:sz w:val="28"/>
          <w:szCs w:val="28"/>
          <w:lang w:eastAsia="zh-CN"/>
        </w:rPr>
        <w:t>、</w:t>
      </w:r>
      <w:r>
        <w:rPr>
          <w:rFonts w:hint="default" w:ascii="Times New Roman" w:hAnsi="Times New Roman" w:eastAsia="仿宋_GB2312" w:cs="Times New Roman"/>
          <w:iCs/>
          <w:color w:val="000000"/>
          <w:sz w:val="28"/>
          <w:szCs w:val="28"/>
        </w:rPr>
        <w:t>农业农村部奶产品质量安全风险评估实验室（北京）、农业农村部奶及奶制品质量监督检验测试中心（北京）</w:t>
      </w:r>
      <w:r>
        <w:rPr>
          <w:rFonts w:hint="default" w:ascii="Times New Roman" w:hAnsi="Times New Roman" w:eastAsia="仿宋_GB2312" w:cs="Times New Roman"/>
          <w:iCs/>
          <w:color w:val="000000"/>
          <w:sz w:val="28"/>
          <w:szCs w:val="28"/>
          <w:lang w:eastAsia="zh-CN"/>
        </w:rPr>
        <w:t>、</w:t>
      </w:r>
      <w:r>
        <w:rPr>
          <w:rFonts w:hint="default" w:ascii="Times New Roman" w:hAnsi="Times New Roman" w:eastAsia="仿宋_GB2312" w:cs="Times New Roman"/>
          <w:iCs/>
          <w:color w:val="000000"/>
          <w:sz w:val="28"/>
          <w:szCs w:val="28"/>
        </w:rPr>
        <w:t>山东省农业科学院农业质量标准与检测技术研究所牵头起草。</w:t>
      </w:r>
    </w:p>
    <w:p>
      <w:pPr>
        <w:pStyle w:val="30"/>
        <w:keepNext w:val="0"/>
        <w:keepLines w:val="0"/>
        <w:pageBreakBefore w:val="0"/>
        <w:widowControl/>
        <w:kinsoku/>
        <w:wordWrap/>
        <w:overflowPunct/>
        <w:topLinePunct w:val="0"/>
        <w:autoSpaceDE/>
        <w:autoSpaceDN/>
        <w:bidi w:val="0"/>
        <w:adjustRightInd w:val="0"/>
        <w:snapToGrid w:val="0"/>
        <w:spacing w:before="0" w:beforeLines="0" w:after="0" w:afterLines="0" w:line="360" w:lineRule="auto"/>
        <w:ind w:firstLine="0" w:firstLineChars="0"/>
        <w:textAlignment w:val="auto"/>
        <w:rPr>
          <w:color w:val="000000"/>
        </w:rPr>
      </w:pPr>
      <w:r>
        <w:rPr>
          <w:color w:val="000000"/>
        </w:rPr>
        <w:t>二、主要工作过程</w:t>
      </w:r>
    </w:p>
    <w:p>
      <w:pPr>
        <w:pageBreakBefore w:val="0"/>
        <w:kinsoku/>
        <w:wordWrap/>
        <w:overflowPunct/>
        <w:topLinePunct w:val="0"/>
        <w:autoSpaceDE/>
        <w:bidi w:val="0"/>
        <w:spacing w:line="360" w:lineRule="auto"/>
        <w:ind w:firstLine="420"/>
        <w:textAlignment w:val="auto"/>
        <w:rPr>
          <w:rFonts w:hint="eastAsia" w:ascii="仿宋" w:hAnsi="仿宋" w:eastAsia="仿宋" w:cs="仿宋"/>
          <w:sz w:val="28"/>
          <w:szCs w:val="28"/>
        </w:rPr>
      </w:pPr>
      <w:r>
        <w:rPr>
          <w:rFonts w:hint="eastAsia" w:ascii="仿宋" w:hAnsi="仿宋" w:eastAsia="仿宋" w:cs="仿宋"/>
          <w:sz w:val="28"/>
          <w:szCs w:val="28"/>
        </w:rPr>
        <w:t>本标准定工作分以下</w:t>
      </w:r>
      <w:r>
        <w:rPr>
          <w:rFonts w:hint="eastAsia" w:ascii="仿宋" w:hAnsi="仿宋" w:eastAsia="仿宋" w:cs="仿宋"/>
          <w:sz w:val="28"/>
          <w:szCs w:val="28"/>
          <w:lang w:val="en-US" w:eastAsia="zh-CN"/>
        </w:rPr>
        <w:t>4</w:t>
      </w:r>
      <w:r>
        <w:rPr>
          <w:rFonts w:hint="eastAsia" w:ascii="仿宋" w:hAnsi="仿宋" w:eastAsia="仿宋" w:cs="仿宋"/>
          <w:sz w:val="28"/>
          <w:szCs w:val="28"/>
        </w:rPr>
        <w:t>个阶段进行：</w:t>
      </w:r>
    </w:p>
    <w:p>
      <w:pPr>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color w:val="000000"/>
          <w:sz w:val="28"/>
          <w:szCs w:val="22"/>
        </w:rPr>
      </w:pPr>
      <w:r>
        <w:rPr>
          <w:rFonts w:hint="eastAsia" w:ascii="仿宋" w:hAnsi="仿宋" w:eastAsia="仿宋" w:cs="仿宋"/>
          <w:b/>
          <w:bCs/>
          <w:color w:val="000000"/>
          <w:sz w:val="28"/>
          <w:szCs w:val="22"/>
        </w:rPr>
        <w:t>第一阶段：标准起草组成立</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eastAsia="仿宋" w:cs="Times New Roman"/>
          <w:b/>
          <w:bCs/>
          <w:color w:val="000000"/>
          <w:sz w:val="28"/>
          <w:szCs w:val="28"/>
        </w:rPr>
      </w:pPr>
      <w:r>
        <w:rPr>
          <w:rFonts w:hint="default" w:ascii="Times New Roman" w:hAnsi="Times New Roman" w:eastAsia="仿宋" w:cs="Times New Roman"/>
          <w:sz w:val="28"/>
          <w:szCs w:val="28"/>
        </w:rPr>
        <w:t>在接到标准制定任务后，20</w:t>
      </w:r>
      <w:r>
        <w:rPr>
          <w:rFonts w:hint="default" w:ascii="Times New Roman" w:hAnsi="Times New Roman" w:eastAsia="仿宋" w:cs="Times New Roman"/>
          <w:sz w:val="28"/>
          <w:szCs w:val="28"/>
          <w:lang w:val="en-US" w:eastAsia="zh-CN"/>
        </w:rPr>
        <w:t>20</w:t>
      </w:r>
      <w:r>
        <w:rPr>
          <w:rFonts w:hint="default" w:ascii="Times New Roman" w:hAnsi="Times New Roman" w:eastAsia="仿宋" w:cs="Times New Roman"/>
          <w:sz w:val="28"/>
          <w:szCs w:val="28"/>
        </w:rPr>
        <w:t>年1月成立了标准</w:t>
      </w:r>
      <w:r>
        <w:rPr>
          <w:rFonts w:hint="default" w:ascii="Times New Roman" w:hAnsi="Times New Roman" w:eastAsia="仿宋" w:cs="Times New Roman"/>
          <w:sz w:val="28"/>
          <w:szCs w:val="28"/>
          <w:lang w:eastAsia="zh-CN"/>
        </w:rPr>
        <w:t>起草</w:t>
      </w:r>
      <w:r>
        <w:rPr>
          <w:rFonts w:hint="default" w:ascii="Times New Roman" w:hAnsi="Times New Roman" w:eastAsia="仿宋" w:cs="Times New Roman"/>
          <w:sz w:val="28"/>
          <w:szCs w:val="28"/>
        </w:rPr>
        <w:t>组，中国农业科学院北京畜牧兽医研究所</w:t>
      </w:r>
      <w:r>
        <w:rPr>
          <w:rFonts w:hint="default" w:ascii="Times New Roman" w:hAnsi="Times New Roman" w:eastAsia="仿宋" w:cs="Times New Roman"/>
          <w:sz w:val="28"/>
          <w:szCs w:val="28"/>
          <w:lang w:eastAsia="zh-CN"/>
        </w:rPr>
        <w:t>郑楠</w:t>
      </w:r>
      <w:r>
        <w:rPr>
          <w:rFonts w:hint="default" w:ascii="Times New Roman" w:hAnsi="Times New Roman" w:eastAsia="仿宋" w:cs="Times New Roman"/>
          <w:sz w:val="28"/>
          <w:szCs w:val="28"/>
        </w:rPr>
        <w:t>研究员和山东省农业科学院农业质量标准与检测技术研究所苑学霞副研究员负责制定工作计划、项目分工和工作总结；农业农村部奶产品质量安全风险评估实验室（北京）</w:t>
      </w:r>
      <w:r>
        <w:rPr>
          <w:rFonts w:hint="default" w:ascii="Times New Roman" w:hAnsi="Times New Roman" w:eastAsia="仿宋" w:cs="Times New Roman"/>
          <w:sz w:val="28"/>
          <w:szCs w:val="28"/>
          <w:lang w:eastAsia="zh-CN"/>
        </w:rPr>
        <w:t>和</w:t>
      </w:r>
      <w:r>
        <w:rPr>
          <w:rFonts w:hint="default" w:ascii="Times New Roman" w:hAnsi="Times New Roman" w:eastAsia="仿宋" w:cs="Times New Roman"/>
          <w:sz w:val="28"/>
          <w:szCs w:val="28"/>
        </w:rPr>
        <w:t>山东省农业科学院农业质量标准与检测技术研究所</w:t>
      </w:r>
      <w:r>
        <w:rPr>
          <w:rFonts w:hint="default" w:ascii="Times New Roman" w:hAnsi="Times New Roman" w:eastAsia="仿宋" w:cs="Times New Roman"/>
          <w:sz w:val="28"/>
          <w:szCs w:val="28"/>
          <w:lang w:eastAsia="zh-CN"/>
        </w:rPr>
        <w:t>其他人员</w:t>
      </w:r>
      <w:r>
        <w:rPr>
          <w:rFonts w:hint="default" w:ascii="Times New Roman" w:hAnsi="Times New Roman" w:eastAsia="仿宋" w:cs="Times New Roman"/>
          <w:sz w:val="28"/>
          <w:szCs w:val="28"/>
        </w:rPr>
        <w:t>负责标准关键点的验证工作。</w:t>
      </w:r>
    </w:p>
    <w:p>
      <w:pPr>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color w:val="000000"/>
          <w:sz w:val="28"/>
          <w:szCs w:val="22"/>
        </w:rPr>
      </w:pPr>
      <w:r>
        <w:rPr>
          <w:rFonts w:hint="eastAsia" w:ascii="仿宋" w:hAnsi="仿宋" w:eastAsia="仿宋" w:cs="仿宋"/>
          <w:b/>
          <w:bCs/>
          <w:color w:val="000000"/>
          <w:sz w:val="28"/>
          <w:szCs w:val="22"/>
        </w:rPr>
        <w:t>第</w:t>
      </w:r>
      <w:r>
        <w:rPr>
          <w:rFonts w:hint="eastAsia" w:ascii="仿宋" w:hAnsi="仿宋" w:eastAsia="仿宋" w:cs="仿宋"/>
          <w:b/>
          <w:bCs/>
          <w:color w:val="000000"/>
          <w:sz w:val="28"/>
          <w:szCs w:val="22"/>
          <w:lang w:eastAsia="zh-CN"/>
        </w:rPr>
        <w:t>二</w:t>
      </w:r>
      <w:r>
        <w:rPr>
          <w:rFonts w:hint="eastAsia" w:ascii="仿宋" w:hAnsi="仿宋" w:eastAsia="仿宋" w:cs="仿宋"/>
          <w:b/>
          <w:bCs/>
          <w:color w:val="000000"/>
          <w:sz w:val="28"/>
          <w:szCs w:val="22"/>
        </w:rPr>
        <w:t>阶段：前期预研及调研分析</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本标准</w:t>
      </w:r>
      <w:r>
        <w:rPr>
          <w:rFonts w:hint="default" w:ascii="Times New Roman" w:hAnsi="Times New Roman" w:eastAsia="仿宋" w:cs="Times New Roman"/>
          <w:sz w:val="28"/>
          <w:szCs w:val="28"/>
          <w:lang w:eastAsia="zh-CN"/>
        </w:rPr>
        <w:t>以</w:t>
      </w:r>
      <w:r>
        <w:rPr>
          <w:rFonts w:hint="default" w:ascii="Times New Roman" w:hAnsi="Times New Roman" w:eastAsia="仿宋" w:cs="Times New Roman"/>
          <w:sz w:val="28"/>
          <w:szCs w:val="28"/>
        </w:rPr>
        <w:t>满足生乳控制技术标准化生产需要为目的，以现有的研究成果和成熟的技术为支撑确定主要技术内容</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充分考虑生乳生产实际，结合乳业发展规律和地域差异，以利于标准推广和可操作性为重要因素，参考国内外相关的标准或法律法规，并注意吸收近年来乳业生产领域的新成果、新技术，进行标准</w:t>
      </w:r>
      <w:r>
        <w:rPr>
          <w:rFonts w:hint="default" w:ascii="Times New Roman" w:hAnsi="Times New Roman" w:eastAsia="仿宋" w:cs="Times New Roman"/>
          <w:sz w:val="28"/>
          <w:szCs w:val="28"/>
          <w:lang w:eastAsia="zh-CN"/>
        </w:rPr>
        <w:t>研制</w:t>
      </w:r>
      <w:r>
        <w:rPr>
          <w:rFonts w:hint="default" w:ascii="Times New Roman" w:hAnsi="Times New Roman" w:eastAsia="仿宋" w:cs="Times New Roman"/>
          <w:sz w:val="28"/>
          <w:szCs w:val="28"/>
        </w:rPr>
        <w:t>工作。</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对近几年关于生乳中铅控制技术相关标准进行收集整理，结果如下：</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 xml:space="preserve">GB 2762-2017 </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食品安全国家标准 食品中污染物限量</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GB 4806.7-2016</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食品安全国家标准 食品接触用塑料材料及制品</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GB 4806.9-2016</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食品安全国家标准 食品接触用金属材料及制品</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 xml:space="preserve">GB 5009.12-2017 </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食品安全国家标准 食品中铅的测定</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GB 5749-2006</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生活饮用水卫生标准</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 xml:space="preserve">GB 13078-2017 </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饲料卫生标准</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GB/T 13080-2018</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饲料中铅的测定 原子吸收光谱法</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GB 14930.2-2012</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食品安全国家标准 消毒剂</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NY/T 388-1999</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畜禽场环境质量标准</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NY/T 2798.9-2015</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无公害农产品 生产质量安全控制技术规范 第9部分 生鲜乳</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 xml:space="preserve">NY/T 5030-2016 </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无公害农产品 兽药施用准则</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NY/T 5049-2001</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无公害农产品 奶牛饲养管理准则</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t xml:space="preserve">HJ 568-2010 </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畜禽养殖产地环境评价规范</w:t>
      </w:r>
      <w:r>
        <w:rPr>
          <w:rFonts w:hint="default" w:ascii="Times New Roman" w:hAnsi="Times New Roman" w:eastAsia="仿宋" w:cs="Times New Roman"/>
          <w:sz w:val="28"/>
          <w:szCs w:val="28"/>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欧盟：Commission regulation（EC）No 1881/2006（revised 26 times, the newest is commission regulation 2016/239 of 19 February 2016）</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中国台湾：食品中污染物物质和毒素卫生标准1070508</w:t>
      </w:r>
    </w:p>
    <w:p>
      <w:pPr>
        <w:keepNext w:val="0"/>
        <w:keepLines w:val="0"/>
        <w:pageBreakBefore w:val="0"/>
        <w:widowControl/>
        <w:kinsoku/>
        <w:wordWrap/>
        <w:overflowPunct/>
        <w:topLinePunct w:val="0"/>
        <w:autoSpaceDE/>
        <w:autoSpaceDN/>
        <w:bidi w:val="0"/>
        <w:adjustRightInd/>
        <w:snapToGrid/>
        <w:spacing w:line="360" w:lineRule="auto"/>
        <w:ind w:firstLine="700" w:firstLineChars="25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韩国：食品法典 第二章 第3条 食用通用标准和规范</w:t>
      </w:r>
    </w:p>
    <w:p>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CAC: Codex Standard 193-1995 General standard for contaminants and toxins in food and feed (Adopted in 1995. Revised in 1997, 2006, 2008, 2009. Amended in 2010, 2012, 2013, 2014, 2015, 2016, 2017)</w:t>
      </w:r>
    </w:p>
    <w:p>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CAC/RCP 49-2001 Code of practice concerning source directed measures to reduce contamination of food with chemicals</w:t>
      </w:r>
    </w:p>
    <w:p>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CAC/RCP 56-2004 Code of practice for the prevention and reduction of lead contamination in foods</w:t>
      </w:r>
    </w:p>
    <w:p>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印度：Compendium of food safety and standards (laboratory and sampling analysis) regulation (version-II (18.08.2017))</w:t>
      </w:r>
    </w:p>
    <w:p>
      <w:pPr>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color w:val="000000"/>
          <w:sz w:val="28"/>
          <w:szCs w:val="22"/>
        </w:rPr>
      </w:pPr>
      <w:r>
        <w:rPr>
          <w:rFonts w:hint="eastAsia" w:ascii="仿宋" w:hAnsi="仿宋" w:eastAsia="仿宋" w:cs="仿宋"/>
          <w:b/>
          <w:bCs/>
          <w:color w:val="000000"/>
          <w:sz w:val="28"/>
          <w:szCs w:val="22"/>
        </w:rPr>
        <w:t>第</w:t>
      </w:r>
      <w:r>
        <w:rPr>
          <w:rFonts w:hint="eastAsia" w:ascii="仿宋" w:hAnsi="仿宋" w:eastAsia="仿宋" w:cs="仿宋"/>
          <w:b/>
          <w:bCs/>
          <w:color w:val="000000"/>
          <w:sz w:val="28"/>
          <w:szCs w:val="22"/>
          <w:lang w:val="en-US" w:eastAsia="zh-CN"/>
        </w:rPr>
        <w:t>三</w:t>
      </w:r>
      <w:r>
        <w:rPr>
          <w:rFonts w:hint="eastAsia" w:ascii="仿宋" w:hAnsi="仿宋" w:eastAsia="仿宋" w:cs="仿宋"/>
          <w:b/>
          <w:bCs/>
          <w:color w:val="000000"/>
          <w:sz w:val="28"/>
          <w:szCs w:val="22"/>
        </w:rPr>
        <w:t>阶段：标准起草</w:t>
      </w:r>
    </w:p>
    <w:p>
      <w:pPr>
        <w:pageBreakBefore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标准起草组查阅国内外关于生乳中铅的标准及方案，结合查阅收集整理的国内外相关标准和文献检索及我国生牛乳中铅相关数据确定关键控制点和技术内容</w:t>
      </w:r>
      <w:r>
        <w:rPr>
          <w:rFonts w:hint="default" w:ascii="Times New Roman" w:hAnsi="Times New Roman" w:eastAsia="仿宋" w:cs="Times New Roman"/>
          <w:sz w:val="28"/>
          <w:szCs w:val="28"/>
          <w:lang w:eastAsia="zh-CN"/>
        </w:rPr>
        <w:t>包括</w:t>
      </w:r>
      <w:r>
        <w:rPr>
          <w:rFonts w:hint="default" w:ascii="Times New Roman" w:hAnsi="Times New Roman" w:eastAsia="仿宋" w:cs="Times New Roman"/>
          <w:sz w:val="28"/>
          <w:szCs w:val="28"/>
        </w:rPr>
        <w:t>：奶畜养殖（养殖环境、奶畜饮用水、奶畜饲料）、挤奶（用具材料、消毒剂、清洁用水）、储存（容器材料、消毒剂、清洁用水）、运输（容器材料、消毒剂）等方面技术内容，确定生乳铅污染预警值和检测、纠偏、核实和记录等内容，按照GB/T 1.1《标准化工作导则 第1部分：标准化文件的结构和起草规则》起草编写《生乳中重金属铅的生产过程控制技术规范》标准文本内容和编制说明。</w:t>
      </w:r>
    </w:p>
    <w:p>
      <w:pPr>
        <w:pageBreakBefore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2019年12月15日，中国农业科学院北京畜牧兽医研究所召开讨论会，并邀请14位</w:t>
      </w:r>
      <w:r>
        <w:rPr>
          <w:rFonts w:hint="default" w:ascii="Times New Roman" w:hAnsi="Times New Roman" w:eastAsia="仿宋" w:cs="Times New Roman"/>
          <w:sz w:val="28"/>
          <w:szCs w:val="28"/>
          <w:lang w:eastAsia="zh-CN"/>
        </w:rPr>
        <w:t>标准起草组</w:t>
      </w:r>
      <w:r>
        <w:rPr>
          <w:rFonts w:hint="default" w:ascii="Times New Roman" w:hAnsi="Times New Roman" w:eastAsia="仿宋" w:cs="Times New Roman"/>
          <w:sz w:val="28"/>
          <w:szCs w:val="28"/>
        </w:rPr>
        <w:t>外专家与会。本次会议主要就标准草案文本结构框架进行了讨论，修改并确定草案文本结构。</w:t>
      </w:r>
    </w:p>
    <w:p>
      <w:pPr>
        <w:pageBreakBefore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2020年10月17日，中国农业科学院北京畜牧兽医研究所奶业创新团队组织召开了行业标准的视频研讨会。中国农业科学院北京畜牧兽医研究所、山东省农业科学院农业质量标准与检测技术研究所、青岛农业大学、唐山市农牧局等相关专家参加了会议。</w:t>
      </w:r>
      <w:r>
        <w:rPr>
          <w:rFonts w:hint="default" w:ascii="Times New Roman" w:hAnsi="Times New Roman" w:eastAsia="仿宋" w:cs="Times New Roman"/>
          <w:sz w:val="28"/>
          <w:szCs w:val="28"/>
          <w:lang w:eastAsia="zh-CN"/>
        </w:rPr>
        <w:t>标准起草</w:t>
      </w:r>
      <w:r>
        <w:rPr>
          <w:rFonts w:hint="default" w:ascii="Times New Roman" w:hAnsi="Times New Roman" w:eastAsia="仿宋" w:cs="Times New Roman"/>
          <w:sz w:val="28"/>
          <w:szCs w:val="28"/>
        </w:rPr>
        <w:t>组从立项背景、标准文本、编制说明以及函审意见反馈情况等方面对</w:t>
      </w:r>
      <w:r>
        <w:rPr>
          <w:rFonts w:hint="default" w:ascii="Times New Roman" w:hAnsi="Times New Roman" w:eastAsia="仿宋" w:cs="Times New Roman"/>
          <w:sz w:val="28"/>
          <w:szCs w:val="28"/>
          <w:lang w:val="en-US" w:eastAsia="zh-CN"/>
        </w:rPr>
        <w:t>标准</w:t>
      </w:r>
      <w:r>
        <w:rPr>
          <w:rFonts w:hint="default" w:ascii="Times New Roman" w:hAnsi="Times New Roman" w:eastAsia="仿宋" w:cs="Times New Roman"/>
          <w:sz w:val="28"/>
          <w:szCs w:val="28"/>
        </w:rPr>
        <w:t>草案进行了汇报，专家组对所有指标和数据进行了逐一审核，从整体上对标准中各个指标的合理性和实用性</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数据准确性、表格细节和格式提出了修改意见。按照相关专家的意见，将《生乳中重金属铅的生产过程控制技术规范》改为《生乳生产过程中重金属铅的控制技术规范》。</w:t>
      </w:r>
    </w:p>
    <w:p>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sz w:val="28"/>
          <w:szCs w:val="22"/>
        </w:rPr>
      </w:pPr>
      <w:r>
        <w:rPr>
          <w:rFonts w:hint="eastAsia" w:ascii="仿宋" w:hAnsi="仿宋" w:eastAsia="仿宋" w:cs="仿宋"/>
          <w:b/>
          <w:bCs/>
          <w:color w:val="000000"/>
          <w:sz w:val="28"/>
          <w:szCs w:val="22"/>
        </w:rPr>
        <w:t>第</w:t>
      </w:r>
      <w:r>
        <w:rPr>
          <w:rFonts w:hint="eastAsia" w:ascii="仿宋" w:hAnsi="仿宋" w:eastAsia="仿宋" w:cs="仿宋"/>
          <w:b/>
          <w:bCs/>
          <w:color w:val="000000"/>
          <w:sz w:val="28"/>
          <w:szCs w:val="22"/>
          <w:lang w:val="en-US" w:eastAsia="zh-CN"/>
        </w:rPr>
        <w:t>四</w:t>
      </w:r>
      <w:r>
        <w:rPr>
          <w:rFonts w:hint="eastAsia" w:ascii="仿宋" w:hAnsi="仿宋" w:eastAsia="仿宋" w:cs="仿宋"/>
          <w:b/>
          <w:bCs/>
          <w:color w:val="000000"/>
          <w:sz w:val="28"/>
          <w:szCs w:val="22"/>
        </w:rPr>
        <w:t>阶段：定向征求意见，完成预审</w:t>
      </w:r>
    </w:p>
    <w:p>
      <w:pPr>
        <w:pageBreakBefore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eastAsia="zh-CN"/>
        </w:rPr>
        <w:t>标准</w:t>
      </w:r>
      <w:r>
        <w:rPr>
          <w:rFonts w:hint="default" w:ascii="Times New Roman" w:hAnsi="Times New Roman" w:eastAsia="仿宋" w:cs="Times New Roman"/>
          <w:sz w:val="28"/>
          <w:szCs w:val="28"/>
        </w:rPr>
        <w:t>起草组在完成标准初稿后，面向全国奶业同行专家</w:t>
      </w:r>
      <w:r>
        <w:rPr>
          <w:rFonts w:hint="default" w:ascii="Times New Roman" w:hAnsi="Times New Roman" w:eastAsia="仿宋" w:cs="Times New Roman"/>
          <w:sz w:val="28"/>
          <w:szCs w:val="28"/>
          <w:lang w:val="en-US" w:eastAsia="zh-CN"/>
        </w:rPr>
        <w:t>2</w:t>
      </w:r>
      <w:r>
        <w:rPr>
          <w:rFonts w:hint="default" w:ascii="Times New Roman" w:hAnsi="Times New Roman" w:eastAsia="仿宋" w:cs="Times New Roman"/>
          <w:sz w:val="28"/>
          <w:szCs w:val="28"/>
        </w:rPr>
        <w:t>次定向征求意见，</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次专家讨论。经汇总，共收到意见37条，其中采纳28条，部分采纳2条，不采纳7条。</w:t>
      </w:r>
    </w:p>
    <w:p>
      <w:pPr>
        <w:pageBreakBefore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2020年9月30日，第一次定向征求意见，发送征求意见稿33份，收到回函20份</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lang w:val="en-US" w:eastAsia="zh-CN"/>
        </w:rPr>
        <w:t>其中</w:t>
      </w:r>
      <w:r>
        <w:rPr>
          <w:rFonts w:hint="default" w:ascii="Times New Roman" w:hAnsi="Times New Roman" w:eastAsia="仿宋" w:cs="Times New Roman"/>
          <w:sz w:val="28"/>
          <w:szCs w:val="28"/>
        </w:rPr>
        <w:t>企业1家</w:t>
      </w:r>
      <w:r>
        <w:rPr>
          <w:rFonts w:hint="default" w:ascii="Times New Roman" w:hAnsi="Times New Roman" w:eastAsia="仿宋" w:cs="Times New Roman"/>
          <w:sz w:val="28"/>
          <w:szCs w:val="28"/>
          <w:lang w:val="en-US" w:eastAsia="zh-CN"/>
        </w:rPr>
        <w:t>和</w:t>
      </w:r>
      <w:r>
        <w:rPr>
          <w:rFonts w:hint="default" w:ascii="Times New Roman" w:hAnsi="Times New Roman" w:eastAsia="仿宋" w:cs="Times New Roman"/>
          <w:sz w:val="28"/>
          <w:szCs w:val="28"/>
        </w:rPr>
        <w:t>科研单位19家，回函并有建议或意见的14份。征求到意见33条</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lang w:val="en-US" w:eastAsia="zh-CN"/>
        </w:rPr>
        <w:t>包括</w:t>
      </w:r>
      <w:r>
        <w:rPr>
          <w:rFonts w:hint="default" w:ascii="Times New Roman" w:hAnsi="Times New Roman" w:eastAsia="仿宋" w:cs="Times New Roman"/>
          <w:sz w:val="28"/>
          <w:szCs w:val="28"/>
        </w:rPr>
        <w:t>企业1条</w:t>
      </w:r>
      <w:r>
        <w:rPr>
          <w:rFonts w:hint="default" w:ascii="Times New Roman" w:hAnsi="Times New Roman" w:eastAsia="仿宋" w:cs="Times New Roman"/>
          <w:sz w:val="28"/>
          <w:szCs w:val="28"/>
          <w:lang w:val="en-US" w:eastAsia="zh-CN"/>
        </w:rPr>
        <w:t>和</w:t>
      </w:r>
      <w:r>
        <w:rPr>
          <w:rFonts w:hint="default" w:ascii="Times New Roman" w:hAnsi="Times New Roman" w:eastAsia="仿宋" w:cs="Times New Roman"/>
          <w:sz w:val="28"/>
          <w:szCs w:val="28"/>
        </w:rPr>
        <w:t>科研单位32条，其中采纳25条，部分采纳2条，不采纳6条。</w:t>
      </w:r>
    </w:p>
    <w:p>
      <w:pPr>
        <w:pageBreakBefore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2021年6月28日，第二次定向征求意见，发送征求意见稿8份，回函件数4份</w:t>
      </w:r>
      <w:r>
        <w:rPr>
          <w:rFonts w:hint="default" w:ascii="Times New Roman" w:hAnsi="Times New Roman" w:eastAsia="仿宋" w:cs="Times New Roman"/>
          <w:sz w:val="28"/>
          <w:szCs w:val="28"/>
          <w:lang w:eastAsia="zh-CN"/>
        </w:rPr>
        <w:t>，全部为</w:t>
      </w:r>
      <w:r>
        <w:rPr>
          <w:rFonts w:hint="default" w:ascii="Times New Roman" w:hAnsi="Times New Roman" w:eastAsia="仿宋" w:cs="Times New Roman"/>
          <w:sz w:val="28"/>
          <w:szCs w:val="28"/>
        </w:rPr>
        <w:t>企业，有意见2份，无意见2份。征求到意见4条</w:t>
      </w:r>
      <w:r>
        <w:rPr>
          <w:rFonts w:hint="default" w:ascii="Times New Roman" w:hAnsi="Times New Roman" w:eastAsia="仿宋" w:cs="Times New Roman"/>
          <w:sz w:val="28"/>
          <w:szCs w:val="28"/>
          <w:lang w:eastAsia="zh-CN"/>
        </w:rPr>
        <w:t>，全部为</w:t>
      </w:r>
      <w:r>
        <w:rPr>
          <w:rFonts w:hint="default" w:ascii="Times New Roman" w:hAnsi="Times New Roman" w:eastAsia="仿宋" w:cs="Times New Roman"/>
          <w:sz w:val="28"/>
          <w:szCs w:val="28"/>
        </w:rPr>
        <w:t>企业，其中采纳3条，不采纳1条。</w:t>
      </w:r>
    </w:p>
    <w:p>
      <w:pPr>
        <w:pageBreakBefore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2021年1月13日，在线上召开专家讨论会。农业农村部农产品质量安全中心万靓军研究员、农业农村部乳品质量监督检验测试中心高级工程师张宗城、中国标准化研究院姚晓静研究员、中国农业大学动物科技学院李胜利教授、杨红建教授、中国农业科学院上海兽医研究所陈兆国研究员、北京市畜牧总站奶牛产业技术体系郭江鹏研究员、中国农业科学院农业质量标准与检测技术研究所毛雪飞副研究员、内蒙古优然牧业技术总监王典等专家参加了线上讨论会。专家组在听取汇报的基础上，对标准的格式和技术内容进行了逐条、认真细致的审查和充分讨论，将标准名称由《生乳生产过程中重金属铅的控制技术规范》修改为《生乳中铅的控制技术规范》，并提出修改建议，</w:t>
      </w:r>
      <w:r>
        <w:rPr>
          <w:rFonts w:hint="default" w:ascii="Times New Roman" w:hAnsi="Times New Roman" w:eastAsia="仿宋" w:cs="Times New Roman"/>
          <w:sz w:val="28"/>
          <w:szCs w:val="28"/>
          <w:lang w:eastAsia="zh-CN"/>
        </w:rPr>
        <w:t>标准起草</w:t>
      </w:r>
      <w:r>
        <w:rPr>
          <w:rFonts w:hint="default" w:ascii="Times New Roman" w:hAnsi="Times New Roman" w:eastAsia="仿宋" w:cs="Times New Roman"/>
          <w:sz w:val="28"/>
          <w:szCs w:val="28"/>
        </w:rPr>
        <w:t>组根据修改建议逐条认真修改。</w:t>
      </w:r>
    </w:p>
    <w:p>
      <w:pPr>
        <w:pageBreakBefore w:val="0"/>
        <w:kinsoku/>
        <w:wordWrap/>
        <w:overflowPunct/>
        <w:topLinePunct w:val="0"/>
        <w:autoSpaceDE/>
        <w:bidi w:val="0"/>
        <w:spacing w:line="360" w:lineRule="auto"/>
        <w:ind w:firstLine="560" w:firstLineChars="200"/>
        <w:jc w:val="both"/>
        <w:textAlignment w:val="auto"/>
        <w:rPr>
          <w:rFonts w:hint="eastAsia" w:ascii="仿宋" w:hAnsi="仿宋" w:eastAsia="仿宋" w:cs="仿宋"/>
          <w:sz w:val="28"/>
          <w:szCs w:val="28"/>
          <w:lang w:eastAsia="zh-CN"/>
        </w:rPr>
      </w:pPr>
      <w:r>
        <w:rPr>
          <w:rFonts w:hint="default" w:ascii="Times New Roman" w:hAnsi="Times New Roman" w:eastAsia="仿宋" w:cs="Times New Roman"/>
          <w:sz w:val="28"/>
          <w:szCs w:val="28"/>
        </w:rPr>
        <w:t>2021年8月4日，中国农业科学院北京畜牧兽医研究所组织召开了标准预审会</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对农业行业标准《生乳中铅的控制技术规范》（预审稿）进行了认真审查。专家组由李建国、张书义、杨红建、张学炜、窦玮、王鹤佳、云战友、王静等九位专家组成。在听取</w:t>
      </w:r>
      <w:r>
        <w:rPr>
          <w:rFonts w:hint="default" w:ascii="Times New Roman" w:hAnsi="Times New Roman" w:eastAsia="仿宋" w:cs="Times New Roman"/>
          <w:sz w:val="28"/>
          <w:szCs w:val="28"/>
          <w:lang w:eastAsia="zh-CN"/>
        </w:rPr>
        <w:t>标准起草组</w:t>
      </w:r>
      <w:r>
        <w:rPr>
          <w:rFonts w:hint="default" w:ascii="Times New Roman" w:hAnsi="Times New Roman" w:eastAsia="仿宋" w:cs="Times New Roman"/>
          <w:sz w:val="28"/>
          <w:szCs w:val="28"/>
        </w:rPr>
        <w:t>汇报的基础上，专家组审查了标准文本及编制说明。</w:t>
      </w:r>
      <w:r>
        <w:rPr>
          <w:rFonts w:hint="default" w:ascii="Times New Roman" w:hAnsi="Times New Roman" w:eastAsia="仿宋" w:cs="Times New Roman"/>
          <w:sz w:val="28"/>
          <w:szCs w:val="28"/>
          <w:lang w:val="en-US" w:eastAsia="zh-CN"/>
        </w:rPr>
        <w:t>主要提出如下意见：一是修改“范围”的表述；二是核实规范性引用文件；三是删除“7 生乳中铅限量、预警值”内容；四是根据文本内容，进一步补充完善编制依据；五是按GB/T1.1—2020《标准化工作导则 第1部分：标准化文件的结构和起草规则》的要求进一步规范标准文本。</w:t>
      </w:r>
      <w:r>
        <w:rPr>
          <w:rFonts w:hint="default" w:ascii="Times New Roman" w:hAnsi="Times New Roman" w:eastAsia="仿宋" w:cs="Times New Roman"/>
          <w:sz w:val="28"/>
          <w:szCs w:val="28"/>
        </w:rPr>
        <w:t>专家组一致同意审查通过，建议标准起草单位按照上述意见进一步修改后，报全国畜牧业标准化技术委员会秘书处公开征求意见。</w:t>
      </w:r>
      <w:r>
        <w:rPr>
          <w:rFonts w:hint="default" w:ascii="Times New Roman" w:hAnsi="Times New Roman" w:eastAsia="仿宋" w:cs="Times New Roman"/>
          <w:sz w:val="28"/>
          <w:szCs w:val="28"/>
          <w:lang w:eastAsia="zh-CN"/>
        </w:rPr>
        <w:t>预审会专家意见汇总处理表附后。</w:t>
      </w:r>
    </w:p>
    <w:p>
      <w:pPr>
        <w:pStyle w:val="30"/>
        <w:keepNext w:val="0"/>
        <w:keepLines w:val="0"/>
        <w:pageBreakBefore w:val="0"/>
        <w:widowControl/>
        <w:kinsoku/>
        <w:wordWrap/>
        <w:overflowPunct/>
        <w:topLinePunct w:val="0"/>
        <w:autoSpaceDE/>
        <w:autoSpaceDN/>
        <w:bidi w:val="0"/>
        <w:adjustRightInd w:val="0"/>
        <w:snapToGrid w:val="0"/>
        <w:spacing w:before="0" w:beforeLines="0" w:after="0" w:afterLines="0" w:line="360" w:lineRule="auto"/>
        <w:ind w:firstLine="0" w:firstLineChars="0"/>
        <w:jc w:val="left"/>
        <w:textAlignment w:val="auto"/>
        <w:rPr>
          <w:color w:val="000000"/>
        </w:rPr>
      </w:pPr>
      <w:r>
        <w:rPr>
          <w:color w:val="000000"/>
        </w:rPr>
        <w:t>三、 标准编制原则和主要技术内容确定的依据</w:t>
      </w:r>
    </w:p>
    <w:p>
      <w:pPr>
        <w:pStyle w:val="31"/>
        <w:keepNext/>
        <w:keepLines/>
        <w:pageBreakBefore w:val="0"/>
        <w:widowControl/>
        <w:kinsoku/>
        <w:wordWrap/>
        <w:overflowPunct/>
        <w:topLinePunct w:val="0"/>
        <w:autoSpaceDE/>
        <w:autoSpaceDN/>
        <w:bidi w:val="0"/>
        <w:adjustRightInd w:val="0"/>
        <w:snapToGrid w:val="0"/>
        <w:spacing w:before="0" w:beforeLines="0" w:after="0" w:afterLines="0" w:line="360" w:lineRule="auto"/>
        <w:textAlignment w:val="auto"/>
        <w:rPr>
          <w:rFonts w:hint="eastAsia"/>
          <w:color w:val="000000"/>
        </w:rPr>
      </w:pPr>
      <w:r>
        <w:rPr>
          <w:rFonts w:hint="eastAsia"/>
          <w:color w:val="000000"/>
          <w:lang w:val="en-US" w:eastAsia="zh-CN"/>
        </w:rPr>
        <w:t xml:space="preserve">（一） </w:t>
      </w:r>
      <w:r>
        <w:rPr>
          <w:rFonts w:hint="eastAsia"/>
          <w:color w:val="000000"/>
        </w:rPr>
        <w:t>标准制定过程遵循的基本原则</w:t>
      </w:r>
    </w:p>
    <w:p>
      <w:pPr>
        <w:pageBreakBefore w:val="0"/>
        <w:kinsoku/>
        <w:wordWrap/>
        <w:overflowPunct/>
        <w:topLinePunct w:val="0"/>
        <w:autoSpaceDE/>
        <w:bidi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本标准按照GB/T 1.1-2020《标准化工作导则 第1部分：标准化文件的结构和起草规则》的规定起草，同时遵循以下原则：</w:t>
      </w:r>
    </w:p>
    <w:p>
      <w:pPr>
        <w:pageBreakBefore w:val="0"/>
        <w:kinsoku/>
        <w:wordWrap/>
        <w:overflowPunct/>
        <w:topLinePunct w:val="0"/>
        <w:autoSpaceDE/>
        <w:bidi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政策性：制定本标准直接关系到国家和广大人民群众的利益。因此，在制定过程中严格贯彻国家有关方针、政策、法规和规章。</w:t>
      </w:r>
    </w:p>
    <w:p>
      <w:pPr>
        <w:pageBreakBefore w:val="0"/>
        <w:kinsoku/>
        <w:wordWrap/>
        <w:overflowPunct/>
        <w:topLinePunct w:val="0"/>
        <w:autoSpaceDE/>
        <w:bidi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先进性：对本标准中有关内容的确定，力求反映本研究领域的国内外先进技术和经验，使标准中所规定的技术内容有利于</w:t>
      </w:r>
      <w:r>
        <w:rPr>
          <w:rFonts w:hint="eastAsia" w:ascii="仿宋" w:hAnsi="仿宋" w:eastAsia="仿宋" w:cs="仿宋"/>
          <w:sz w:val="28"/>
          <w:szCs w:val="28"/>
          <w:lang w:val="en-US" w:eastAsia="zh-CN"/>
        </w:rPr>
        <w:t>铅</w:t>
      </w:r>
      <w:r>
        <w:rPr>
          <w:rFonts w:hint="eastAsia" w:ascii="仿宋" w:hAnsi="仿宋" w:eastAsia="仿宋" w:cs="仿宋"/>
          <w:sz w:val="28"/>
          <w:szCs w:val="28"/>
        </w:rPr>
        <w:t>的控制。</w:t>
      </w:r>
    </w:p>
    <w:p>
      <w:pPr>
        <w:pageBreakBefore w:val="0"/>
        <w:kinsoku/>
        <w:wordWrap/>
        <w:overflowPunct/>
        <w:topLinePunct w:val="0"/>
        <w:autoSpaceDE/>
        <w:bidi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规范性：在本标准征求意见稿的编制过程中力求做到技术内容的叙述正确无误，文字表达准确和简明易懂，标准的构成严谨合理；内容编排、层次划分等符合逻辑。</w:t>
      </w:r>
    </w:p>
    <w:p>
      <w:pPr>
        <w:pageBreakBefore w:val="0"/>
        <w:kinsoku/>
        <w:wordWrap/>
        <w:overflowPunct/>
        <w:topLinePunct w:val="0"/>
        <w:autoSpaceDE/>
        <w:bidi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可操作性：可操作性是制定标准的必备因素，因此，在制定标准的过程中，始终把经济实用和可操作性作为重要的依据，以便在执行中容易操作。</w:t>
      </w:r>
    </w:p>
    <w:p>
      <w:pPr>
        <w:pStyle w:val="31"/>
        <w:keepNext/>
        <w:keepLines/>
        <w:pageBreakBefore w:val="0"/>
        <w:widowControl w:val="0"/>
        <w:kinsoku/>
        <w:wordWrap/>
        <w:overflowPunct/>
        <w:topLinePunct w:val="0"/>
        <w:autoSpaceDE/>
        <w:autoSpaceDN/>
        <w:bidi w:val="0"/>
        <w:adjustRightInd w:val="0"/>
        <w:snapToGrid w:val="0"/>
        <w:spacing w:before="0" w:beforeLines="0" w:after="0" w:afterLines="0" w:line="360" w:lineRule="auto"/>
        <w:textAlignment w:val="auto"/>
        <w:rPr>
          <w:rFonts w:hint="eastAsia"/>
          <w:color w:val="000000"/>
        </w:rPr>
      </w:pPr>
      <w:r>
        <w:rPr>
          <w:rFonts w:hint="eastAsia"/>
          <w:color w:val="000000"/>
          <w:lang w:eastAsia="zh-CN"/>
        </w:rPr>
        <w:t>（二）</w:t>
      </w:r>
      <w:r>
        <w:rPr>
          <w:rFonts w:hint="eastAsia"/>
          <w:color w:val="000000"/>
        </w:rPr>
        <w:t>主要内容确定的依据</w:t>
      </w:r>
    </w:p>
    <w:p>
      <w:pPr>
        <w:pageBreakBefore w:val="0"/>
        <w:widowControl w:val="0"/>
        <w:kinsoku/>
        <w:wordWrap/>
        <w:overflowPunct/>
        <w:topLinePunct w:val="0"/>
        <w:autoSpaceDE/>
        <w:bidi w:val="0"/>
        <w:spacing w:line="360" w:lineRule="auto"/>
        <w:ind w:firstLine="562" w:firstLineChars="200"/>
        <w:jc w:val="both"/>
        <w:textAlignment w:val="auto"/>
        <w:rPr>
          <w:rFonts w:hint="eastAsia" w:ascii="黑体" w:hAnsi="黑体" w:eastAsia="黑体" w:cs="黑体"/>
          <w:b/>
          <w:bCs/>
          <w:kern w:val="2"/>
          <w:sz w:val="28"/>
          <w:szCs w:val="28"/>
        </w:rPr>
      </w:pPr>
      <w:r>
        <w:rPr>
          <w:rFonts w:hint="eastAsia" w:ascii="黑体" w:hAnsi="黑体" w:eastAsia="黑体" w:cs="黑体"/>
          <w:b/>
          <w:bCs/>
          <w:color w:val="000000"/>
          <w:sz w:val="28"/>
          <w:szCs w:val="28"/>
          <w:lang w:val="en-US" w:eastAsia="zh-CN"/>
        </w:rPr>
        <w:t xml:space="preserve">1. </w:t>
      </w:r>
      <w:r>
        <w:rPr>
          <w:rFonts w:hint="eastAsia" w:ascii="黑体" w:hAnsi="黑体" w:eastAsia="黑体" w:cs="黑体"/>
          <w:b/>
          <w:bCs/>
          <w:color w:val="000000"/>
          <w:kern w:val="2"/>
          <w:sz w:val="28"/>
          <w:szCs w:val="28"/>
        </w:rPr>
        <w:t>标准内容</w:t>
      </w:r>
      <w:r>
        <w:rPr>
          <w:rFonts w:hint="eastAsia" w:ascii="黑体" w:hAnsi="黑体" w:eastAsia="黑体" w:cs="黑体"/>
          <w:b/>
          <w:bCs/>
          <w:color w:val="000000"/>
          <w:kern w:val="2"/>
          <w:sz w:val="28"/>
          <w:szCs w:val="28"/>
          <w:lang w:val="en-US" w:eastAsia="zh-CN"/>
        </w:rPr>
        <w:t xml:space="preserve"> </w:t>
      </w:r>
      <w:r>
        <w:rPr>
          <w:rFonts w:hint="eastAsia" w:ascii="黑体" w:hAnsi="黑体" w:eastAsia="黑体" w:cs="黑体"/>
          <w:b/>
          <w:bCs/>
          <w:kern w:val="2"/>
          <w:sz w:val="28"/>
          <w:szCs w:val="28"/>
        </w:rPr>
        <w:t>4.1养殖环境</w:t>
      </w:r>
    </w:p>
    <w:p>
      <w:pPr>
        <w:pageBreakBefore w:val="0"/>
        <w:widowControl w:val="0"/>
        <w:kinsoku/>
        <w:wordWrap/>
        <w:overflowPunct/>
        <w:topLinePunct w:val="0"/>
        <w:autoSpaceDE/>
        <w:bidi w:val="0"/>
        <w:spacing w:line="360" w:lineRule="auto"/>
        <w:ind w:firstLine="560" w:firstLineChars="200"/>
        <w:jc w:val="both"/>
        <w:textAlignment w:val="auto"/>
        <w:rPr>
          <w:rFonts w:hint="eastAsia" w:ascii="黑体" w:hAnsi="黑体" w:eastAsia="黑体" w:cs="黑体"/>
          <w:kern w:val="2"/>
          <w:sz w:val="28"/>
          <w:szCs w:val="28"/>
        </w:rPr>
      </w:pPr>
      <w:r>
        <w:rPr>
          <w:rFonts w:hint="eastAsia" w:ascii="黑体" w:hAnsi="黑体" w:eastAsia="黑体" w:cs="黑体"/>
          <w:kern w:val="2"/>
          <w:sz w:val="28"/>
          <w:szCs w:val="28"/>
        </w:rPr>
        <w:t>奶畜场环境质量应符合NY/T 1167的规定；大气应符合GB 3095的规定。</w:t>
      </w:r>
    </w:p>
    <w:p>
      <w:pPr>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ascii="仿宋" w:hAnsi="仿宋" w:eastAsia="仿宋" w:cs="仿宋"/>
          <w:b/>
          <w:bCs/>
          <w:iCs/>
          <w:color w:val="000000"/>
          <w:sz w:val="28"/>
          <w:szCs w:val="28"/>
        </w:rPr>
      </w:pPr>
      <w:r>
        <w:rPr>
          <w:rFonts w:hint="eastAsia" w:ascii="仿宋" w:hAnsi="仿宋" w:eastAsia="仿宋" w:cs="仿宋"/>
          <w:b/>
          <w:bCs/>
          <w:iCs/>
          <w:color w:val="000000"/>
          <w:sz w:val="28"/>
          <w:szCs w:val="28"/>
        </w:rPr>
        <w:t>理由及依据：</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铅在自然界中分布很广，在地壳中的含量约为0.0016%。随着工业、农业生产的不断发展，全世界每年消耗铅约400万</w:t>
      </w:r>
      <w:r>
        <w:rPr>
          <w:rFonts w:hint="default" w:ascii="Times New Roman" w:hAnsi="Times New Roman" w:eastAsia="仿宋" w:cs="Times New Roman"/>
          <w:kern w:val="2"/>
          <w:sz w:val="28"/>
          <w:szCs w:val="28"/>
          <w:lang w:val="en-US" w:eastAsia="zh-CN"/>
        </w:rPr>
        <w:t>吨</w:t>
      </w:r>
      <w:r>
        <w:rPr>
          <w:rFonts w:hint="default" w:ascii="Times New Roman" w:hAnsi="Times New Roman" w:eastAsia="仿宋" w:cs="Times New Roman"/>
          <w:kern w:val="2"/>
          <w:sz w:val="28"/>
          <w:szCs w:val="28"/>
        </w:rPr>
        <w:t>，主要来源</w:t>
      </w:r>
      <w:r>
        <w:rPr>
          <w:rFonts w:hint="default" w:ascii="Times New Roman" w:hAnsi="Times New Roman" w:eastAsia="仿宋" w:cs="Times New Roman"/>
          <w:kern w:val="2"/>
          <w:sz w:val="28"/>
          <w:szCs w:val="28"/>
          <w:lang w:eastAsia="zh-CN"/>
        </w:rPr>
        <w:t>为</w:t>
      </w:r>
      <w:r>
        <w:rPr>
          <w:rFonts w:hint="default" w:ascii="Times New Roman" w:hAnsi="Times New Roman" w:eastAsia="仿宋" w:cs="Times New Roman"/>
          <w:kern w:val="2"/>
          <w:sz w:val="28"/>
          <w:szCs w:val="28"/>
        </w:rPr>
        <w:t>工业三废、生活垃圾和汽车尾气排放等，大部分以各种形式排放到环境中，导致环境污染加剧，造成饲养用水及饲料中铅的含量不断增加。汽车尾气排放是大气中铅污染的主要来源，大气中铅含量的变化能迅速使植物叶片中铅的含量发生相应改变，特别是位于公路两侧的草本植物和农作物。研究表明，在交通繁忙的公路两侧80 m左右处，仍可检出草本植物中铅含量的增加；在20 m内的草本植物其铅含量较远距离道路增加了2</w:t>
      </w:r>
      <w:r>
        <w:rPr>
          <w:rFonts w:hint="eastAsia" w:eastAsia="仿宋" w:cs="Times New Roman"/>
          <w:kern w:val="2"/>
          <w:sz w:val="28"/>
          <w:szCs w:val="28"/>
          <w:lang w:val="en-US" w:eastAsia="zh-CN"/>
        </w:rPr>
        <w:t>~</w:t>
      </w:r>
      <w:r>
        <w:rPr>
          <w:rFonts w:hint="default" w:ascii="Times New Roman" w:hAnsi="Times New Roman" w:eastAsia="仿宋" w:cs="Times New Roman"/>
          <w:kern w:val="2"/>
          <w:sz w:val="28"/>
          <w:szCs w:val="28"/>
        </w:rPr>
        <w:t>3倍；而靠近主干道两侧的植物中铅含量大多超标，大部分铅集中于其表皮。农业上造成铅污染的另一途径是施用含铅的化肥和农药，经日积月累，导致土壤中铅超标。铅进入土壤生态系统后很难被降解，且易被农作物吸收，一旦被奶牛等牲畜采食，即可通过牛奶等畜产品进入人体。天然水体中铅含量一般约为5 μg/mL，可能来自河流、井、岩石和被工业污染的含铅废水中。</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土壤、大气等环境中的铅通过重金属的生物迁移作用，使得牛奶等畜产品中铅的含量不断增加，进而可能被人体吸收。奶畜若生活在铅污染严重的环境中，生产的乳中铅污染必将严重。工业活动、公路和/或高速公路交通、杀虫剂使用等均可导致牛奶中铅含量较高（Boudebbouz，2021）。Noori等（2016年）发现，与远离工业区的区域（0.76 μg/L）相比，从伊朗博罗耶德市工业活动和工厂附近的农场散装罐中收集的原料奶（N= 85）中的铅平均含量（4.48 μg/L）更高。Patra等（2008年）在工业区（钢铁制造厂、铝加工厂、热电厂和铅锌冶炼厂）的结果也发现，与未受污染的地区相比，在这些地区饲养的奶牛生产的牛奶中铅平均含量明显较高。Ismail等（2015）在巴基斯坦木尔坦市主要工业区生产的原料奶中发现的铅的平均含量为0.03 mg/L±0.004 mg/L，而在住宅区和市场区采集的样品中发现的铅含量值较低（0.01 mg/L±0.002 mg/L）。在土耳其，Bigucu等（2016年）研究结果表明，最高的铅含量出现在靠近高速公路的萨基尔贝地区的牛奶中（1.85 mg/L±0.09 mg/L），其次是从靠近重工业工厂的耶尼契夫里克地区采集的牛奶（1.03 mg/L±0.05 mg/L）和从靠近食品生产工厂的居姆丘奇地区采集的牛奶（1.01 mg/L±0.05 mg/L）。在尼日利亚南部的伊巴丹，从离垃圾场几米远的受污染地区饲养的奶牛收集的牛奶中铅含量（0.34 mg/L±0.14 mg/L）高于未受污染地区饲养的动物收集的牛奶中铅含量（</w:t>
      </w:r>
      <w:r>
        <w:rPr>
          <w:rFonts w:hint="default" w:ascii="Times New Roman" w:hAnsi="Times New Roman" w:eastAsia="仿宋" w:cs="Times New Roman"/>
          <w:kern w:val="2"/>
          <w:sz w:val="28"/>
          <w:szCs w:val="28"/>
          <w:lang w:eastAsia="zh-CN"/>
        </w:rPr>
        <w:t>未</w:t>
      </w:r>
      <w:r>
        <w:rPr>
          <w:rFonts w:hint="default" w:ascii="Times New Roman" w:hAnsi="Times New Roman" w:eastAsia="仿宋" w:cs="Times New Roman"/>
          <w:kern w:val="2"/>
          <w:sz w:val="28"/>
          <w:szCs w:val="28"/>
        </w:rPr>
        <w:t>检出）（Ogundiran 等，2012）。虽然目前并未检索到关于空气中铅与牛乳中铅含量正相关关系的文献资料，但在靠近公路牧场牛奶中检测到较高铅含量，分别为土耳其1.85 mg/L±0.09 mg/L（Bigucu等，2016）、伊朗0.01 mg/L</w:t>
      </w:r>
      <w:r>
        <w:rPr>
          <w:rFonts w:hint="eastAsia" w:eastAsia="仿宋" w:cs="Times New Roman"/>
          <w:kern w:val="2"/>
          <w:sz w:val="28"/>
          <w:szCs w:val="28"/>
          <w:lang w:val="en-US" w:eastAsia="zh-CN"/>
        </w:rPr>
        <w:t>~</w:t>
      </w:r>
      <w:r>
        <w:rPr>
          <w:rFonts w:hint="default" w:ascii="Times New Roman" w:hAnsi="Times New Roman" w:eastAsia="仿宋" w:cs="Times New Roman"/>
          <w:kern w:val="2"/>
          <w:sz w:val="28"/>
          <w:szCs w:val="28"/>
        </w:rPr>
        <w:t>0.18 mg/L（Dizaji等，2012）、巴基斯坦0.3 mg/L</w:t>
      </w:r>
      <w:r>
        <w:rPr>
          <w:rFonts w:hint="eastAsia" w:eastAsia="仿宋" w:cs="Times New Roman"/>
          <w:kern w:val="2"/>
          <w:sz w:val="28"/>
          <w:szCs w:val="28"/>
          <w:lang w:val="en-US" w:eastAsia="zh-CN"/>
        </w:rPr>
        <w:t>~</w:t>
      </w:r>
      <w:r>
        <w:rPr>
          <w:rFonts w:hint="default" w:ascii="Times New Roman" w:hAnsi="Times New Roman" w:eastAsia="仿宋" w:cs="Times New Roman"/>
          <w:kern w:val="2"/>
          <w:sz w:val="28"/>
          <w:szCs w:val="28"/>
        </w:rPr>
        <w:t>0.8 mg/L（Tahir等，2017），远高于我国牛奶中铅限量（0.05 mg/L）和CAC欧盟的限量（0.02 mg/L）。</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《畜禽场环境质量及卫生控制规范》NY/T 1167-2006规定了畜禽场缓冲区、场区及舍区土壤中铅的限量为250 mg/kg、300 mg/kg、350 mg/kg，但对空气中铅的含量没有明确规定。《环境空气质量标准》GB 3095-2012 规定空气中铅含量年平均限值为0.5 μg/m</w:t>
      </w:r>
      <w:r>
        <w:rPr>
          <w:rFonts w:hint="default" w:ascii="Times New Roman" w:hAnsi="Times New Roman" w:eastAsia="仿宋" w:cs="Times New Roman"/>
          <w:kern w:val="2"/>
          <w:sz w:val="28"/>
          <w:szCs w:val="28"/>
          <w:vertAlign w:val="superscript"/>
        </w:rPr>
        <w:t>3</w:t>
      </w:r>
      <w:r>
        <w:rPr>
          <w:rFonts w:hint="default" w:ascii="Times New Roman" w:hAnsi="Times New Roman" w:eastAsia="仿宋" w:cs="Times New Roman"/>
          <w:kern w:val="2"/>
          <w:sz w:val="28"/>
          <w:szCs w:val="28"/>
        </w:rPr>
        <w:t>，季平均限值为1 μg/m</w:t>
      </w:r>
      <w:r>
        <w:rPr>
          <w:rFonts w:hint="default" w:ascii="Times New Roman" w:hAnsi="Times New Roman" w:eastAsia="仿宋" w:cs="Times New Roman"/>
          <w:kern w:val="2"/>
          <w:sz w:val="28"/>
          <w:szCs w:val="28"/>
          <w:vertAlign w:val="superscript"/>
        </w:rPr>
        <w:t>3</w:t>
      </w:r>
      <w:r>
        <w:rPr>
          <w:rFonts w:hint="default" w:ascii="Times New Roman" w:hAnsi="Times New Roman" w:eastAsia="仿宋" w:cs="Times New Roman"/>
          <w:kern w:val="2"/>
          <w:sz w:val="28"/>
          <w:szCs w:val="28"/>
        </w:rPr>
        <w:t>。</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color w:val="FF0000"/>
          <w:kern w:val="2"/>
          <w:sz w:val="28"/>
          <w:szCs w:val="28"/>
        </w:rPr>
      </w:pPr>
      <w:r>
        <w:rPr>
          <w:rFonts w:hint="default" w:ascii="Times New Roman" w:hAnsi="Times New Roman" w:eastAsia="仿宋" w:cs="Times New Roman"/>
          <w:kern w:val="2"/>
          <w:sz w:val="28"/>
          <w:szCs w:val="28"/>
        </w:rPr>
        <w:t>综合以上，奶畜场环境质量应符合NY/T 1167的规定；大气应符合GB 3095的规定。</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562" w:firstLineChars="200"/>
        <w:jc w:val="left"/>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标准内容</w:t>
      </w:r>
      <w:r>
        <w:rPr>
          <w:rFonts w:hint="eastAsia" w:ascii="黑体" w:hAnsi="黑体" w:eastAsia="黑体" w:cs="黑体"/>
          <w:b/>
          <w:bCs/>
          <w:kern w:val="0"/>
          <w:sz w:val="28"/>
          <w:szCs w:val="28"/>
        </w:rPr>
        <w:t>4.2饮用水</w:t>
      </w:r>
      <w:r>
        <w:rPr>
          <w:rFonts w:hint="eastAsia" w:ascii="黑体" w:hAnsi="黑体" w:eastAsia="黑体" w:cs="黑体"/>
          <w:b/>
          <w:bCs/>
          <w:kern w:val="0"/>
          <w:sz w:val="28"/>
          <w:szCs w:val="28"/>
          <w:lang w:val="en-US" w:eastAsia="zh-CN"/>
        </w:rPr>
        <w:t>-</w:t>
      </w:r>
      <w:r>
        <w:rPr>
          <w:rFonts w:hint="eastAsia" w:ascii="黑体" w:hAnsi="黑体" w:eastAsia="黑体"/>
          <w:b/>
          <w:bCs/>
          <w:kern w:val="0"/>
          <w:sz w:val="28"/>
          <w:szCs w:val="28"/>
          <w:lang w:val="en-US" w:eastAsia="zh-CN"/>
        </w:rPr>
        <w:t>4.3饲料</w:t>
      </w:r>
    </w:p>
    <w:p>
      <w:pPr>
        <w:pageBreakBefore w:val="0"/>
        <w:widowControl/>
        <w:kinsoku/>
        <w:wordWrap/>
        <w:overflowPunct/>
        <w:topLinePunct w:val="0"/>
        <w:autoSpaceDE/>
        <w:bidi w:val="0"/>
        <w:spacing w:line="360" w:lineRule="auto"/>
        <w:ind w:firstLine="560" w:firstLineChars="200"/>
        <w:jc w:val="left"/>
        <w:textAlignment w:val="auto"/>
        <w:outlineLvl w:val="3"/>
        <w:rPr>
          <w:rFonts w:hint="eastAsia" w:ascii="黑体" w:hAnsi="黑体" w:eastAsia="黑体" w:cs="黑体"/>
          <w:kern w:val="0"/>
          <w:sz w:val="28"/>
          <w:szCs w:val="28"/>
          <w:lang w:val="en-US" w:eastAsia="zh-CN"/>
        </w:rPr>
      </w:pPr>
      <w:r>
        <w:rPr>
          <w:rFonts w:hint="eastAsia" w:ascii="黑体" w:hAnsi="黑体" w:eastAsia="黑体" w:cs="黑体"/>
          <w:kern w:val="0"/>
          <w:sz w:val="28"/>
          <w:szCs w:val="28"/>
          <w:lang w:val="en-US" w:eastAsia="zh-CN"/>
        </w:rPr>
        <w:t>4.2</w:t>
      </w:r>
      <w:r>
        <w:rPr>
          <w:rFonts w:hint="eastAsia" w:ascii="黑体" w:hAnsi="黑体" w:eastAsia="黑体" w:cs="黑体"/>
          <w:kern w:val="0"/>
          <w:sz w:val="28"/>
          <w:szCs w:val="28"/>
        </w:rPr>
        <w:t>饮用水</w:t>
      </w:r>
    </w:p>
    <w:p>
      <w:pPr>
        <w:pageBreakBefore w:val="0"/>
        <w:widowControl/>
        <w:kinsoku/>
        <w:wordWrap/>
        <w:overflowPunct/>
        <w:topLinePunct w:val="0"/>
        <w:autoSpaceDE/>
        <w:bidi w:val="0"/>
        <w:spacing w:line="360" w:lineRule="auto"/>
        <w:ind w:firstLine="560" w:firstLineChars="200"/>
        <w:jc w:val="left"/>
        <w:textAlignment w:val="auto"/>
        <w:outlineLvl w:val="3"/>
        <w:rPr>
          <w:rFonts w:hint="eastAsia" w:ascii="黑体" w:hAnsi="黑体" w:eastAsia="黑体" w:cs="黑体"/>
          <w:kern w:val="0"/>
          <w:sz w:val="28"/>
          <w:szCs w:val="28"/>
        </w:rPr>
      </w:pPr>
      <w:r>
        <w:rPr>
          <w:rFonts w:hint="eastAsia" w:ascii="黑体" w:hAnsi="黑体" w:eastAsia="黑体" w:cs="黑体"/>
          <w:kern w:val="0"/>
          <w:sz w:val="28"/>
          <w:szCs w:val="28"/>
        </w:rPr>
        <w:t>奶畜饮用水中铅含量应小于0.01 mg/L。</w:t>
      </w:r>
    </w:p>
    <w:p>
      <w:pPr>
        <w:pageBreakBefore w:val="0"/>
        <w:widowControl/>
        <w:kinsoku/>
        <w:wordWrap/>
        <w:overflowPunct/>
        <w:topLinePunct w:val="0"/>
        <w:autoSpaceDE/>
        <w:bidi w:val="0"/>
        <w:spacing w:line="360" w:lineRule="auto"/>
        <w:ind w:firstLine="560" w:firstLineChars="200"/>
        <w:jc w:val="left"/>
        <w:textAlignment w:val="auto"/>
        <w:outlineLvl w:val="2"/>
        <w:rPr>
          <w:rFonts w:hint="eastAsia" w:ascii="黑体" w:hAnsi="黑体" w:eastAsia="黑体" w:cs="黑体"/>
          <w:kern w:val="0"/>
          <w:sz w:val="28"/>
          <w:szCs w:val="28"/>
        </w:rPr>
      </w:pPr>
      <w:r>
        <w:rPr>
          <w:rFonts w:hint="eastAsia" w:ascii="黑体" w:hAnsi="黑体" w:eastAsia="黑体" w:cs="黑体"/>
          <w:kern w:val="0"/>
          <w:sz w:val="28"/>
          <w:szCs w:val="28"/>
          <w:lang w:val="en-US" w:eastAsia="zh-CN"/>
        </w:rPr>
        <w:t>4.3饲料</w:t>
      </w:r>
    </w:p>
    <w:p>
      <w:pPr>
        <w:pageBreakBefore w:val="0"/>
        <w:widowControl/>
        <w:kinsoku/>
        <w:wordWrap/>
        <w:overflowPunct/>
        <w:topLinePunct w:val="0"/>
        <w:autoSpaceDE/>
        <w:bidi w:val="0"/>
        <w:spacing w:line="360" w:lineRule="auto"/>
        <w:ind w:firstLine="560" w:firstLineChars="200"/>
        <w:jc w:val="left"/>
        <w:textAlignment w:val="auto"/>
        <w:outlineLvl w:val="3"/>
        <w:rPr>
          <w:rFonts w:hint="eastAsia" w:ascii="黑体" w:hAnsi="黑体" w:eastAsia="黑体" w:cs="黑体"/>
          <w:kern w:val="0"/>
          <w:sz w:val="28"/>
          <w:szCs w:val="28"/>
        </w:rPr>
      </w:pPr>
      <w:r>
        <w:rPr>
          <w:rFonts w:hint="eastAsia" w:ascii="黑体" w:hAnsi="黑体" w:eastAsia="黑体" w:cs="黑体"/>
          <w:kern w:val="0"/>
          <w:sz w:val="28"/>
          <w:szCs w:val="28"/>
        </w:rPr>
        <w:t>奶畜全混合日粮中铅含量（以干物质计）应小于或等于5 mg/kg。</w:t>
      </w:r>
    </w:p>
    <w:p>
      <w:pPr>
        <w:pageBreakBefore w:val="0"/>
        <w:widowControl w:val="0"/>
        <w:kinsoku/>
        <w:wordWrap/>
        <w:overflowPunct/>
        <w:topLinePunct w:val="0"/>
        <w:autoSpaceDE/>
        <w:bidi w:val="0"/>
        <w:spacing w:line="360" w:lineRule="auto"/>
        <w:ind w:firstLine="562" w:firstLineChars="200"/>
        <w:jc w:val="both"/>
        <w:textAlignment w:val="auto"/>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lang w:val="en-US" w:eastAsia="zh-CN"/>
        </w:rPr>
        <w:t>理由及依据：</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饲料中铅是牛奶中铅的主要来源之一，Bischoff等（2014）研究了8头荷斯坦奶牛2.5年以上的铅中毒临床症状，青贮饲料铅暴露后128~306天，牛奶中铅含量出现峰值。</w:t>
      </w:r>
      <w:r>
        <w:rPr>
          <w:rFonts w:hint="default" w:ascii="Times New Roman" w:hAnsi="Times New Roman" w:eastAsia="仿宋" w:cs="Times New Roman"/>
          <w:sz w:val="28"/>
          <w:szCs w:val="28"/>
          <w:lang w:eastAsia="zh-CN"/>
        </w:rPr>
        <w:t>标准起草</w:t>
      </w:r>
      <w:r>
        <w:rPr>
          <w:rFonts w:hint="default" w:ascii="Times New Roman" w:hAnsi="Times New Roman" w:eastAsia="仿宋" w:cs="Times New Roman"/>
          <w:kern w:val="2"/>
          <w:sz w:val="28"/>
          <w:szCs w:val="28"/>
        </w:rPr>
        <w:t>组选取6个奶畜奶（唐山5个、齐齐哈尔1个），每个奶畜场选取10头奶畜采集生乳，同时采集饮用水及饲料，分析其中的铅含量并进行相关性分析，发现生乳中铅含量与饮用水铅含量之间相关系数为0.03，呈弱正相关；生乳中铅含量与饲料中铅含量之间相关系数为0.53，呈正相关（Zhou等，2019）。</w:t>
      </w:r>
    </w:p>
    <w:p>
      <w:pPr>
        <w:pageBreakBefore w:val="0"/>
        <w:widowControl w:val="0"/>
        <w:kinsoku/>
        <w:wordWrap/>
        <w:overflowPunct/>
        <w:topLinePunct w:val="0"/>
        <w:autoSpaceDE/>
        <w:bidi w:val="0"/>
        <w:spacing w:line="360" w:lineRule="auto"/>
        <w:jc w:val="center"/>
        <w:textAlignment w:val="auto"/>
        <w:rPr>
          <w:rFonts w:ascii="宋体" w:hAnsi="宋体"/>
          <w:kern w:val="2"/>
          <w:sz w:val="21"/>
          <w:szCs w:val="21"/>
        </w:rPr>
      </w:pPr>
      <w:r>
        <w:rPr>
          <w:rFonts w:hint="eastAsia" w:ascii="宋体" w:hAnsi="宋体"/>
          <w:kern w:val="2"/>
          <w:sz w:val="21"/>
          <w:szCs w:val="21"/>
        </w:rPr>
        <w:t>生乳中铅含量与饮用水、饲料中铅含量相关系数（</w:t>
      </w:r>
      <w:r>
        <w:rPr>
          <w:rFonts w:hint="eastAsia"/>
          <w:kern w:val="2"/>
          <w:sz w:val="21"/>
          <w:szCs w:val="21"/>
        </w:rPr>
        <w:t>n=6</w:t>
      </w:r>
      <w:r>
        <w:rPr>
          <w:rFonts w:hint="eastAsia" w:ascii="宋体" w:hAnsi="宋体"/>
          <w:kern w:val="2"/>
          <w:sz w:val="21"/>
          <w:szCs w:val="21"/>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9"/>
        <w:gridCol w:w="2310"/>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309"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kern w:val="2"/>
                <w:sz w:val="21"/>
                <w:szCs w:val="21"/>
              </w:rPr>
            </w:pPr>
          </w:p>
        </w:tc>
        <w:tc>
          <w:tcPr>
            <w:tcW w:w="231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kern w:val="2"/>
                <w:sz w:val="21"/>
                <w:szCs w:val="21"/>
              </w:rPr>
            </w:pPr>
            <w:r>
              <w:rPr>
                <w:b/>
                <w:bCs/>
                <w:kern w:val="2"/>
                <w:sz w:val="21"/>
                <w:szCs w:val="21"/>
              </w:rPr>
              <w:t>相关系数</w:t>
            </w:r>
          </w:p>
        </w:tc>
        <w:tc>
          <w:tcPr>
            <w:tcW w:w="231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kern w:val="2"/>
                <w:sz w:val="21"/>
                <w:szCs w:val="21"/>
              </w:rPr>
            </w:pPr>
            <w:r>
              <w:rPr>
                <w:b/>
                <w:bCs/>
                <w:kern w:val="2"/>
                <w:sz w:val="21"/>
                <w:szCs w:val="21"/>
              </w:rPr>
              <w:t>P值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309"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kern w:val="2"/>
                <w:sz w:val="21"/>
                <w:szCs w:val="21"/>
              </w:rPr>
            </w:pPr>
            <w:r>
              <w:rPr>
                <w:kern w:val="2"/>
                <w:sz w:val="21"/>
                <w:szCs w:val="21"/>
              </w:rPr>
              <w:t>生乳-饮用水</w:t>
            </w:r>
          </w:p>
        </w:tc>
        <w:tc>
          <w:tcPr>
            <w:tcW w:w="231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kern w:val="2"/>
                <w:sz w:val="21"/>
                <w:szCs w:val="21"/>
              </w:rPr>
            </w:pPr>
            <w:r>
              <w:rPr>
                <w:kern w:val="2"/>
                <w:sz w:val="21"/>
                <w:szCs w:val="21"/>
              </w:rPr>
              <w:t>0.03</w:t>
            </w:r>
          </w:p>
        </w:tc>
        <w:tc>
          <w:tcPr>
            <w:tcW w:w="231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kern w:val="2"/>
                <w:sz w:val="21"/>
                <w:szCs w:val="21"/>
              </w:rPr>
            </w:pPr>
            <w:r>
              <w:rPr>
                <w:kern w:val="2"/>
                <w:sz w:val="21"/>
                <w:szCs w:val="21"/>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309"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kern w:val="2"/>
                <w:sz w:val="21"/>
                <w:szCs w:val="21"/>
              </w:rPr>
            </w:pPr>
            <w:r>
              <w:rPr>
                <w:kern w:val="2"/>
                <w:sz w:val="21"/>
                <w:szCs w:val="21"/>
              </w:rPr>
              <w:t>生乳-饲料</w:t>
            </w:r>
          </w:p>
        </w:tc>
        <w:tc>
          <w:tcPr>
            <w:tcW w:w="231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kern w:val="2"/>
                <w:sz w:val="21"/>
                <w:szCs w:val="21"/>
              </w:rPr>
            </w:pPr>
            <w:r>
              <w:rPr>
                <w:kern w:val="2"/>
                <w:sz w:val="21"/>
                <w:szCs w:val="21"/>
              </w:rPr>
              <w:t>0.54</w:t>
            </w:r>
          </w:p>
        </w:tc>
        <w:tc>
          <w:tcPr>
            <w:tcW w:w="231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kern w:val="2"/>
                <w:sz w:val="21"/>
                <w:szCs w:val="21"/>
              </w:rPr>
            </w:pPr>
            <w:r>
              <w:rPr>
                <w:kern w:val="2"/>
                <w:sz w:val="21"/>
                <w:szCs w:val="21"/>
              </w:rPr>
              <w:t>0.27</w:t>
            </w:r>
          </w:p>
        </w:tc>
      </w:tr>
    </w:tbl>
    <w:p>
      <w:pPr>
        <w:pageBreakBefore w:val="0"/>
        <w:widowControl w:val="0"/>
        <w:kinsoku/>
        <w:wordWrap/>
        <w:overflowPunct/>
        <w:topLinePunct w:val="0"/>
        <w:autoSpaceDE/>
        <w:bidi w:val="0"/>
        <w:spacing w:line="360" w:lineRule="auto"/>
        <w:ind w:firstLine="420" w:firstLineChars="200"/>
        <w:jc w:val="both"/>
        <w:textAlignment w:val="auto"/>
        <w:rPr>
          <w:rFonts w:ascii="宋体" w:hAnsi="宋体"/>
          <w:kern w:val="2"/>
          <w:sz w:val="21"/>
          <w:szCs w:val="21"/>
        </w:rPr>
      </w:pP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根据 Wang等（2018）研究结果，饲喂0.9 g/d、1.8 g/d剂量铅，生乳中铅最高含量分别在第21、20天达到0.083 mg/kg、0.215 mg/kg。根据以上数据计算最高单位剂量效应系数。</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国家标准《生活饮用水卫生标准》GB 5749-2006规定了饮用水铅含量的要求（&lt;0.01 mg/L）。根据最高单位剂量效应系数计算出：当饮用水铅含量为0.01 mg/L时，生产的生乳中铅含量最高分别为7.38×10</w:t>
      </w:r>
      <w:r>
        <w:rPr>
          <w:rFonts w:hint="default" w:ascii="Times New Roman" w:hAnsi="Times New Roman" w:eastAsia="仿宋" w:cs="Times New Roman"/>
          <w:kern w:val="2"/>
          <w:sz w:val="28"/>
          <w:szCs w:val="28"/>
          <w:vertAlign w:val="superscript"/>
        </w:rPr>
        <w:t xml:space="preserve">-5 </w:t>
      </w:r>
      <w:r>
        <w:rPr>
          <w:rFonts w:hint="default" w:ascii="Times New Roman" w:hAnsi="Times New Roman" w:eastAsia="仿宋" w:cs="Times New Roman"/>
          <w:kern w:val="2"/>
          <w:sz w:val="28"/>
          <w:szCs w:val="28"/>
        </w:rPr>
        <w:t>mg/kg、9.56×10</w:t>
      </w:r>
      <w:r>
        <w:rPr>
          <w:rFonts w:hint="default" w:ascii="Times New Roman" w:hAnsi="Times New Roman" w:eastAsia="仿宋" w:cs="Times New Roman"/>
          <w:kern w:val="2"/>
          <w:sz w:val="28"/>
          <w:szCs w:val="28"/>
          <w:vertAlign w:val="superscript"/>
        </w:rPr>
        <w:t>-5</w:t>
      </w:r>
      <w:r>
        <w:rPr>
          <w:rFonts w:hint="default" w:ascii="Times New Roman" w:hAnsi="Times New Roman" w:eastAsia="仿宋" w:cs="Times New Roman"/>
          <w:kern w:val="2"/>
          <w:sz w:val="28"/>
          <w:szCs w:val="28"/>
        </w:rPr>
        <w:t xml:space="preserve"> mg/kg ，远低于《食品安全国家标准 食品中污染物限量》GB 2762-2017中生乳铅含量限量值（0.05 mg/kg）。因此，奶畜饮用水中铅含量小于0.01 mg/L生产出的生乳是安全的。</w:t>
      </w:r>
    </w:p>
    <w:p>
      <w:pPr>
        <w:pageBreakBefore w:val="0"/>
        <w:widowControl w:val="0"/>
        <w:kinsoku/>
        <w:wordWrap/>
        <w:overflowPunct/>
        <w:topLinePunct w:val="0"/>
        <w:autoSpaceDE/>
        <w:bidi w:val="0"/>
        <w:spacing w:line="360" w:lineRule="auto"/>
        <w:jc w:val="center"/>
        <w:textAlignment w:val="auto"/>
        <w:rPr>
          <w:rFonts w:ascii="宋体" w:hAnsi="宋体"/>
          <w:kern w:val="2"/>
          <w:sz w:val="21"/>
          <w:szCs w:val="21"/>
        </w:rPr>
      </w:pPr>
      <w:r>
        <w:rPr>
          <w:rFonts w:hint="eastAsia" w:ascii="宋体" w:hAnsi="宋体"/>
          <w:kern w:val="2"/>
          <w:sz w:val="21"/>
          <w:szCs w:val="21"/>
        </w:rPr>
        <w:t>饲喂铅对生乳中铅含量的影响</w:t>
      </w:r>
    </w:p>
    <w:tbl>
      <w:tblPr>
        <w:tblStyle w:val="10"/>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4105"/>
        <w:gridCol w:w="2163"/>
        <w:gridCol w:w="22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0" w:hRule="atLeast"/>
          <w:jc w:val="center"/>
        </w:trPr>
        <w:tc>
          <w:tcPr>
            <w:tcW w:w="240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bookmarkStart w:id="0" w:name="OLE_LINK1"/>
            <w:r>
              <w:rPr>
                <w:kern w:val="2"/>
                <w:sz w:val="21"/>
                <w:szCs w:val="21"/>
              </w:rPr>
              <w:t>饲喂铅剂量</w:t>
            </w:r>
            <w:r>
              <w:rPr>
                <w:rFonts w:hint="eastAsia"/>
                <w:kern w:val="2"/>
                <w:sz w:val="21"/>
                <w:szCs w:val="21"/>
                <w:lang w:val="en-US" w:eastAsia="zh-CN"/>
              </w:rPr>
              <w:t>/</w:t>
            </w:r>
            <w:r>
              <w:rPr>
                <w:kern w:val="2"/>
                <w:sz w:val="21"/>
                <w:szCs w:val="21"/>
              </w:rPr>
              <w:t>（mg/d）</w:t>
            </w:r>
            <w:bookmarkEnd w:id="0"/>
          </w:p>
        </w:tc>
        <w:tc>
          <w:tcPr>
            <w:tcW w:w="126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900</w:t>
            </w:r>
          </w:p>
        </w:tc>
        <w:tc>
          <w:tcPr>
            <w:tcW w:w="1321"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7" w:hRule="atLeast"/>
          <w:jc w:val="center"/>
        </w:trPr>
        <w:tc>
          <w:tcPr>
            <w:tcW w:w="240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饲喂时间</w:t>
            </w:r>
            <w:r>
              <w:rPr>
                <w:rFonts w:hint="eastAsia"/>
                <w:kern w:val="2"/>
                <w:sz w:val="21"/>
                <w:szCs w:val="21"/>
                <w:lang w:val="en-US" w:eastAsia="zh-CN"/>
              </w:rPr>
              <w:t>/</w:t>
            </w:r>
            <w:r>
              <w:rPr>
                <w:kern w:val="2"/>
                <w:sz w:val="21"/>
                <w:szCs w:val="21"/>
              </w:rPr>
              <w:t>d</w:t>
            </w:r>
          </w:p>
        </w:tc>
        <w:tc>
          <w:tcPr>
            <w:tcW w:w="126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30</w:t>
            </w:r>
          </w:p>
        </w:tc>
        <w:tc>
          <w:tcPr>
            <w:tcW w:w="1321"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240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初始含量</w:t>
            </w:r>
            <w:r>
              <w:rPr>
                <w:rFonts w:hint="eastAsia"/>
                <w:kern w:val="2"/>
                <w:sz w:val="21"/>
                <w:szCs w:val="21"/>
                <w:lang w:val="en-US" w:eastAsia="zh-CN"/>
              </w:rPr>
              <w:t>/</w:t>
            </w:r>
            <w:r>
              <w:rPr>
                <w:kern w:val="2"/>
                <w:sz w:val="21"/>
                <w:szCs w:val="21"/>
              </w:rPr>
              <w:t>（mg/kg）</w:t>
            </w:r>
          </w:p>
        </w:tc>
        <w:tc>
          <w:tcPr>
            <w:tcW w:w="126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0.0048</w:t>
            </w:r>
          </w:p>
        </w:tc>
        <w:tc>
          <w:tcPr>
            <w:tcW w:w="1321"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0.0058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4" w:hRule="atLeast"/>
          <w:jc w:val="center"/>
        </w:trPr>
        <w:tc>
          <w:tcPr>
            <w:tcW w:w="240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首次超过0.05 mg/kg时间点</w:t>
            </w:r>
          </w:p>
        </w:tc>
        <w:tc>
          <w:tcPr>
            <w:tcW w:w="126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第7天</w:t>
            </w:r>
          </w:p>
        </w:tc>
        <w:tc>
          <w:tcPr>
            <w:tcW w:w="1321"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第2天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40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牛乳中最高含量（mg/kg）及时间点</w:t>
            </w:r>
          </w:p>
        </w:tc>
        <w:tc>
          <w:tcPr>
            <w:tcW w:w="126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0.083，第21天</w:t>
            </w:r>
          </w:p>
        </w:tc>
        <w:tc>
          <w:tcPr>
            <w:tcW w:w="1321"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0.215，第20天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40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最高单位剂量效应系数</w:t>
            </w:r>
          </w:p>
        </w:tc>
        <w:tc>
          <w:tcPr>
            <w:tcW w:w="126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9.22×10</w:t>
            </w:r>
            <w:r>
              <w:rPr>
                <w:kern w:val="2"/>
                <w:sz w:val="21"/>
                <w:szCs w:val="21"/>
                <w:vertAlign w:val="superscript"/>
              </w:rPr>
              <w:t>-5</w:t>
            </w:r>
          </w:p>
        </w:tc>
        <w:tc>
          <w:tcPr>
            <w:tcW w:w="1321"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1.19×10</w:t>
            </w:r>
            <w:r>
              <w:rPr>
                <w:kern w:val="2"/>
                <w:sz w:val="21"/>
                <w:szCs w:val="21"/>
                <w:vertAlign w:val="superscript"/>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40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饮用水铅含量为0.01 mg/L对应的铅日摄入量（mg/d）</w:t>
            </w:r>
          </w:p>
        </w:tc>
        <w:tc>
          <w:tcPr>
            <w:tcW w:w="126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0.8</w:t>
            </w:r>
          </w:p>
        </w:tc>
        <w:tc>
          <w:tcPr>
            <w:tcW w:w="1321"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40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饮用水铅含量为0.01 mg/L对应的生乳中铅含量</w:t>
            </w:r>
            <w:r>
              <w:rPr>
                <w:rFonts w:hint="eastAsia"/>
                <w:kern w:val="2"/>
                <w:sz w:val="21"/>
                <w:szCs w:val="21"/>
                <w:lang w:val="en-US" w:eastAsia="zh-CN"/>
              </w:rPr>
              <w:t>/</w:t>
            </w:r>
            <w:r>
              <w:rPr>
                <w:kern w:val="2"/>
                <w:sz w:val="21"/>
                <w:szCs w:val="21"/>
              </w:rPr>
              <w:t>（mg/kg）</w:t>
            </w:r>
          </w:p>
        </w:tc>
        <w:tc>
          <w:tcPr>
            <w:tcW w:w="126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7.38×10</w:t>
            </w:r>
            <w:r>
              <w:rPr>
                <w:kern w:val="2"/>
                <w:sz w:val="21"/>
                <w:szCs w:val="21"/>
                <w:vertAlign w:val="superscript"/>
              </w:rPr>
              <w:t>-5</w:t>
            </w:r>
          </w:p>
        </w:tc>
        <w:tc>
          <w:tcPr>
            <w:tcW w:w="1321"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9.56×10</w:t>
            </w:r>
            <w:r>
              <w:rPr>
                <w:kern w:val="2"/>
                <w:sz w:val="21"/>
                <w:szCs w:val="21"/>
                <w:vertAlign w:val="superscript"/>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40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饲料铅含量为5 mg/kg对应的铅日摄入量</w:t>
            </w:r>
            <w:r>
              <w:rPr>
                <w:rFonts w:hint="eastAsia"/>
                <w:kern w:val="2"/>
                <w:sz w:val="21"/>
                <w:szCs w:val="21"/>
                <w:lang w:val="en-US" w:eastAsia="zh-CN"/>
              </w:rPr>
              <w:t>/</w:t>
            </w:r>
            <w:r>
              <w:rPr>
                <w:kern w:val="2"/>
                <w:sz w:val="21"/>
                <w:szCs w:val="21"/>
              </w:rPr>
              <w:t>（mg/d）</w:t>
            </w:r>
          </w:p>
        </w:tc>
        <w:tc>
          <w:tcPr>
            <w:tcW w:w="126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100</w:t>
            </w:r>
          </w:p>
        </w:tc>
        <w:tc>
          <w:tcPr>
            <w:tcW w:w="1321"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40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饲料铅含量为5 mg/kg对应的生乳中铅含量</w:t>
            </w:r>
            <w:r>
              <w:rPr>
                <w:rFonts w:hint="eastAsia"/>
                <w:kern w:val="2"/>
                <w:sz w:val="21"/>
                <w:szCs w:val="21"/>
                <w:lang w:val="en-US" w:eastAsia="zh-CN"/>
              </w:rPr>
              <w:t>/</w:t>
            </w:r>
            <w:r>
              <w:rPr>
                <w:kern w:val="2"/>
                <w:sz w:val="21"/>
                <w:szCs w:val="21"/>
              </w:rPr>
              <w:t>（mg/kg）</w:t>
            </w:r>
          </w:p>
        </w:tc>
        <w:tc>
          <w:tcPr>
            <w:tcW w:w="1269"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9.22×10</w:t>
            </w:r>
            <w:r>
              <w:rPr>
                <w:kern w:val="2"/>
                <w:sz w:val="21"/>
                <w:szCs w:val="21"/>
                <w:vertAlign w:val="superscript"/>
              </w:rPr>
              <w:t>-3</w:t>
            </w:r>
          </w:p>
        </w:tc>
        <w:tc>
          <w:tcPr>
            <w:tcW w:w="1321" w:type="pct"/>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1.19×10</w:t>
            </w:r>
            <w:r>
              <w:rPr>
                <w:kern w:val="2"/>
                <w:sz w:val="21"/>
                <w:szCs w:val="21"/>
                <w:vertAlign w:val="superscript"/>
              </w:rPr>
              <w:t>-2</w:t>
            </w:r>
          </w:p>
        </w:tc>
      </w:tr>
    </w:tbl>
    <w:p>
      <w:pPr>
        <w:pageBreakBefore w:val="0"/>
        <w:widowControl w:val="0"/>
        <w:kinsoku/>
        <w:wordWrap/>
        <w:overflowPunct/>
        <w:topLinePunct w:val="0"/>
        <w:autoSpaceDE/>
        <w:bidi w:val="0"/>
        <w:spacing w:line="360" w:lineRule="auto"/>
        <w:ind w:firstLine="400" w:firstLineChars="200"/>
        <w:textAlignment w:val="auto"/>
        <w:rPr>
          <w:rFonts w:ascii="宋体" w:hAnsi="宋体"/>
          <w:kern w:val="2"/>
          <w:sz w:val="20"/>
          <w:szCs w:val="20"/>
        </w:rPr>
      </w:pPr>
      <w:r>
        <w:rPr>
          <w:rFonts w:ascii="宋体" w:hAnsi="宋体"/>
          <w:kern w:val="2"/>
          <w:sz w:val="20"/>
          <w:szCs w:val="20"/>
        </w:rPr>
        <w:t>注：最高</w:t>
      </w:r>
      <w:r>
        <w:rPr>
          <w:rFonts w:hint="eastAsia" w:ascii="宋体" w:hAnsi="宋体"/>
          <w:kern w:val="2"/>
          <w:sz w:val="20"/>
          <w:szCs w:val="20"/>
        </w:rPr>
        <w:t>单位剂量效应系数</w:t>
      </w:r>
      <w:r>
        <w:rPr>
          <w:rFonts w:hint="eastAsia"/>
          <w:kern w:val="2"/>
          <w:sz w:val="20"/>
          <w:szCs w:val="20"/>
        </w:rPr>
        <w:t>=</w:t>
      </w:r>
      <w:r>
        <w:rPr>
          <w:rFonts w:hint="eastAsia" w:ascii="宋体" w:hAnsi="宋体"/>
          <w:kern w:val="2"/>
          <w:sz w:val="20"/>
          <w:szCs w:val="20"/>
        </w:rPr>
        <w:t>牛乳中最高含量</w:t>
      </w:r>
      <w:r>
        <w:rPr>
          <w:rFonts w:hint="eastAsia"/>
          <w:kern w:val="2"/>
          <w:sz w:val="20"/>
          <w:szCs w:val="20"/>
        </w:rPr>
        <w:t>/</w:t>
      </w:r>
      <w:r>
        <w:rPr>
          <w:rFonts w:hint="eastAsia" w:ascii="宋体" w:hAnsi="宋体"/>
          <w:kern w:val="2"/>
          <w:sz w:val="20"/>
          <w:szCs w:val="20"/>
        </w:rPr>
        <w:t>饲喂铅剂量；</w:t>
      </w:r>
    </w:p>
    <w:p>
      <w:pPr>
        <w:pageBreakBefore w:val="0"/>
        <w:widowControl w:val="0"/>
        <w:kinsoku/>
        <w:wordWrap/>
        <w:overflowPunct/>
        <w:topLinePunct w:val="0"/>
        <w:autoSpaceDE/>
        <w:bidi w:val="0"/>
        <w:spacing w:line="360" w:lineRule="auto"/>
        <w:ind w:firstLine="400" w:firstLineChars="200"/>
        <w:textAlignment w:val="auto"/>
        <w:rPr>
          <w:rFonts w:ascii="宋体" w:hAnsi="宋体"/>
          <w:kern w:val="2"/>
          <w:sz w:val="20"/>
          <w:szCs w:val="20"/>
        </w:rPr>
      </w:pPr>
      <w:r>
        <w:rPr>
          <w:rFonts w:hint="eastAsia" w:ascii="宋体" w:hAnsi="宋体"/>
          <w:kern w:val="2"/>
          <w:sz w:val="20"/>
          <w:szCs w:val="20"/>
        </w:rPr>
        <w:t>饮用水铅含量为</w:t>
      </w:r>
      <w:r>
        <w:rPr>
          <w:rFonts w:hint="eastAsia"/>
          <w:kern w:val="2"/>
          <w:sz w:val="20"/>
          <w:szCs w:val="20"/>
        </w:rPr>
        <w:t>0.01 mg/L</w:t>
      </w:r>
      <w:r>
        <w:rPr>
          <w:rFonts w:hint="eastAsia" w:ascii="宋体" w:hAnsi="宋体"/>
          <w:kern w:val="2"/>
          <w:sz w:val="20"/>
          <w:szCs w:val="20"/>
        </w:rPr>
        <w:t>对应的生乳中铅含量（</w:t>
      </w:r>
      <w:r>
        <w:rPr>
          <w:rFonts w:hint="eastAsia"/>
          <w:kern w:val="2"/>
          <w:sz w:val="20"/>
          <w:szCs w:val="20"/>
        </w:rPr>
        <w:t>mg/kg</w:t>
      </w:r>
      <w:r>
        <w:rPr>
          <w:rFonts w:hint="eastAsia" w:ascii="宋体" w:hAnsi="宋体"/>
          <w:kern w:val="2"/>
          <w:sz w:val="20"/>
          <w:szCs w:val="20"/>
        </w:rPr>
        <w:t>）</w:t>
      </w:r>
      <w:r>
        <w:rPr>
          <w:rFonts w:hint="eastAsia"/>
          <w:kern w:val="2"/>
          <w:sz w:val="20"/>
          <w:szCs w:val="20"/>
        </w:rPr>
        <w:t>=</w:t>
      </w:r>
      <w:r>
        <w:rPr>
          <w:rFonts w:ascii="宋体" w:hAnsi="宋体"/>
          <w:kern w:val="2"/>
          <w:sz w:val="20"/>
          <w:szCs w:val="20"/>
        </w:rPr>
        <w:t>最高</w:t>
      </w:r>
      <w:r>
        <w:rPr>
          <w:rFonts w:hint="eastAsia" w:ascii="宋体" w:hAnsi="宋体"/>
          <w:kern w:val="2"/>
          <w:sz w:val="20"/>
          <w:szCs w:val="20"/>
        </w:rPr>
        <w:t>单位剂量效应系数×</w:t>
      </w:r>
      <w:r>
        <w:rPr>
          <w:rFonts w:hint="eastAsia"/>
          <w:kern w:val="2"/>
          <w:sz w:val="20"/>
          <w:szCs w:val="20"/>
        </w:rPr>
        <w:t>0.01</w:t>
      </w:r>
      <w:r>
        <w:rPr>
          <w:rFonts w:hint="eastAsia" w:ascii="宋体" w:hAnsi="宋体"/>
          <w:kern w:val="2"/>
          <w:sz w:val="20"/>
          <w:szCs w:val="20"/>
        </w:rPr>
        <w:t>×</w:t>
      </w:r>
      <w:r>
        <w:rPr>
          <w:rFonts w:hint="eastAsia"/>
          <w:kern w:val="2"/>
          <w:sz w:val="20"/>
          <w:szCs w:val="20"/>
        </w:rPr>
        <w:t>80</w:t>
      </w:r>
      <w:r>
        <w:rPr>
          <w:rFonts w:hint="eastAsia" w:ascii="宋体" w:hAnsi="宋体"/>
          <w:kern w:val="2"/>
          <w:sz w:val="20"/>
          <w:szCs w:val="20"/>
        </w:rPr>
        <w:t>（按每头牛每天饮水</w:t>
      </w:r>
      <w:r>
        <w:rPr>
          <w:rFonts w:hint="eastAsia"/>
          <w:kern w:val="2"/>
          <w:sz w:val="20"/>
          <w:szCs w:val="20"/>
        </w:rPr>
        <w:t>80 kg</w:t>
      </w:r>
      <w:r>
        <w:rPr>
          <w:rFonts w:hint="eastAsia" w:ascii="宋体" w:hAnsi="宋体"/>
          <w:kern w:val="2"/>
          <w:sz w:val="20"/>
          <w:szCs w:val="20"/>
        </w:rPr>
        <w:t>计算）。</w:t>
      </w:r>
    </w:p>
    <w:p>
      <w:pPr>
        <w:pageBreakBefore w:val="0"/>
        <w:widowControl w:val="0"/>
        <w:kinsoku/>
        <w:wordWrap/>
        <w:overflowPunct/>
        <w:topLinePunct w:val="0"/>
        <w:autoSpaceDE/>
        <w:bidi w:val="0"/>
        <w:spacing w:line="360" w:lineRule="auto"/>
        <w:ind w:firstLine="400" w:firstLineChars="200"/>
        <w:textAlignment w:val="auto"/>
        <w:rPr>
          <w:rFonts w:ascii="宋体" w:hAnsi="宋体"/>
          <w:kern w:val="2"/>
          <w:sz w:val="20"/>
          <w:szCs w:val="20"/>
        </w:rPr>
      </w:pPr>
      <w:r>
        <w:rPr>
          <w:rFonts w:hint="eastAsia" w:ascii="宋体" w:hAnsi="宋体"/>
          <w:kern w:val="2"/>
          <w:sz w:val="20"/>
          <w:szCs w:val="20"/>
        </w:rPr>
        <w:t>饲料铅含量为</w:t>
      </w:r>
      <w:r>
        <w:rPr>
          <w:rFonts w:hint="eastAsia"/>
          <w:kern w:val="2"/>
          <w:sz w:val="20"/>
          <w:szCs w:val="20"/>
        </w:rPr>
        <w:t>5 mg/kg</w:t>
      </w:r>
      <w:r>
        <w:rPr>
          <w:rFonts w:hint="eastAsia" w:ascii="宋体" w:hAnsi="宋体"/>
          <w:kern w:val="2"/>
          <w:sz w:val="20"/>
          <w:szCs w:val="20"/>
        </w:rPr>
        <w:t>对应的生乳中铅含量（</w:t>
      </w:r>
      <w:r>
        <w:rPr>
          <w:rFonts w:hint="eastAsia"/>
          <w:kern w:val="2"/>
          <w:sz w:val="20"/>
          <w:szCs w:val="20"/>
        </w:rPr>
        <w:t>mg/kg</w:t>
      </w:r>
      <w:r>
        <w:rPr>
          <w:rFonts w:hint="eastAsia" w:ascii="宋体" w:hAnsi="宋体"/>
          <w:kern w:val="2"/>
          <w:sz w:val="20"/>
          <w:szCs w:val="20"/>
        </w:rPr>
        <w:t>）</w:t>
      </w:r>
      <w:r>
        <w:rPr>
          <w:rFonts w:hint="eastAsia"/>
          <w:kern w:val="2"/>
          <w:sz w:val="20"/>
          <w:szCs w:val="20"/>
        </w:rPr>
        <w:t>=</w:t>
      </w:r>
      <w:r>
        <w:rPr>
          <w:rFonts w:ascii="宋体" w:hAnsi="宋体"/>
          <w:kern w:val="2"/>
          <w:sz w:val="20"/>
          <w:szCs w:val="20"/>
        </w:rPr>
        <w:t>最高</w:t>
      </w:r>
      <w:r>
        <w:rPr>
          <w:rFonts w:hint="eastAsia" w:ascii="宋体" w:hAnsi="宋体"/>
          <w:kern w:val="2"/>
          <w:sz w:val="20"/>
          <w:szCs w:val="20"/>
        </w:rPr>
        <w:t>单位剂量效应系数×</w:t>
      </w:r>
      <w:r>
        <w:rPr>
          <w:rFonts w:hint="eastAsia"/>
          <w:kern w:val="2"/>
          <w:sz w:val="20"/>
          <w:szCs w:val="20"/>
        </w:rPr>
        <w:t>5</w:t>
      </w:r>
      <w:r>
        <w:rPr>
          <w:rFonts w:hint="eastAsia" w:ascii="宋体" w:hAnsi="宋体"/>
          <w:kern w:val="2"/>
          <w:sz w:val="20"/>
          <w:szCs w:val="20"/>
        </w:rPr>
        <w:t>×</w:t>
      </w:r>
      <w:r>
        <w:rPr>
          <w:rFonts w:hint="eastAsia"/>
          <w:kern w:val="2"/>
          <w:sz w:val="20"/>
          <w:szCs w:val="20"/>
        </w:rPr>
        <w:t>20</w:t>
      </w:r>
      <w:r>
        <w:rPr>
          <w:rFonts w:hint="eastAsia" w:ascii="宋体" w:hAnsi="宋体"/>
          <w:kern w:val="2"/>
          <w:sz w:val="20"/>
          <w:szCs w:val="20"/>
        </w:rPr>
        <w:t>（按每头奶牛每天进食饲料</w:t>
      </w:r>
      <w:r>
        <w:rPr>
          <w:rFonts w:hint="eastAsia"/>
          <w:kern w:val="2"/>
          <w:sz w:val="20"/>
          <w:szCs w:val="20"/>
        </w:rPr>
        <w:t>20 kg</w:t>
      </w:r>
      <w:r>
        <w:rPr>
          <w:rFonts w:hint="eastAsia" w:ascii="宋体" w:hAnsi="宋体"/>
          <w:kern w:val="2"/>
          <w:sz w:val="20"/>
          <w:szCs w:val="20"/>
        </w:rPr>
        <w:t>计算）。</w:t>
      </w:r>
    </w:p>
    <w:p>
      <w:pPr>
        <w:pageBreakBefore w:val="0"/>
        <w:widowControl w:val="0"/>
        <w:kinsoku/>
        <w:wordWrap/>
        <w:overflowPunct/>
        <w:topLinePunct w:val="0"/>
        <w:autoSpaceDE/>
        <w:bidi w:val="0"/>
        <w:spacing w:line="360" w:lineRule="auto"/>
        <w:ind w:firstLine="360" w:firstLineChars="200"/>
        <w:textAlignment w:val="auto"/>
        <w:rPr>
          <w:rFonts w:ascii="宋体" w:hAnsi="宋体"/>
          <w:kern w:val="2"/>
          <w:sz w:val="18"/>
          <w:szCs w:val="18"/>
        </w:rPr>
      </w:pP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kern w:val="2"/>
          <w:sz w:val="28"/>
          <w:szCs w:val="28"/>
        </w:rPr>
      </w:pPr>
      <w:r>
        <w:rPr>
          <w:rFonts w:hint="default" w:ascii="Times New Roman" w:hAnsi="Times New Roman" w:eastAsia="仿宋"/>
          <w:kern w:val="2"/>
          <w:sz w:val="28"/>
          <w:szCs w:val="28"/>
        </w:rPr>
        <w:t>国家标准《饲料卫生标准》</w:t>
      </w:r>
      <w:r>
        <w:rPr>
          <w:rFonts w:hint="default" w:eastAsia="仿宋"/>
          <w:kern w:val="2"/>
          <w:sz w:val="28"/>
          <w:szCs w:val="28"/>
        </w:rPr>
        <w:t xml:space="preserve">GB 13078-2017 </w:t>
      </w:r>
      <w:r>
        <w:rPr>
          <w:rFonts w:hint="default" w:ascii="Times New Roman" w:hAnsi="Times New Roman" w:eastAsia="仿宋"/>
          <w:kern w:val="2"/>
          <w:sz w:val="28"/>
          <w:szCs w:val="28"/>
        </w:rPr>
        <w:t>详细规定了饲料中铅含量的要求。而奶畜饲喂的饲料为配合饲料，应符合铅限量</w:t>
      </w:r>
      <w:r>
        <w:rPr>
          <w:rFonts w:hint="default" w:eastAsia="仿宋"/>
          <w:kern w:val="2"/>
          <w:sz w:val="28"/>
          <w:szCs w:val="28"/>
        </w:rPr>
        <w:t>≤5 mg/kg</w:t>
      </w:r>
      <w:r>
        <w:rPr>
          <w:rFonts w:hint="default" w:ascii="Times New Roman" w:hAnsi="Times New Roman" w:eastAsia="仿宋"/>
          <w:kern w:val="2"/>
          <w:sz w:val="28"/>
          <w:szCs w:val="28"/>
        </w:rPr>
        <w:t>的要求。根据最高单位剂量效应系数计算出：当饲料铅含量为</w:t>
      </w:r>
      <w:r>
        <w:rPr>
          <w:rFonts w:hint="default" w:eastAsia="仿宋"/>
          <w:kern w:val="2"/>
          <w:sz w:val="28"/>
          <w:szCs w:val="28"/>
        </w:rPr>
        <w:t>5 mg/kg</w:t>
      </w:r>
      <w:r>
        <w:rPr>
          <w:rFonts w:hint="default" w:ascii="Times New Roman" w:hAnsi="Times New Roman" w:eastAsia="仿宋"/>
          <w:kern w:val="2"/>
          <w:sz w:val="28"/>
          <w:szCs w:val="28"/>
        </w:rPr>
        <w:t>时，生产的生乳中铅含量最高分别为</w:t>
      </w:r>
      <w:r>
        <w:rPr>
          <w:rFonts w:hint="default" w:eastAsia="仿宋"/>
          <w:kern w:val="2"/>
          <w:sz w:val="28"/>
          <w:szCs w:val="28"/>
        </w:rPr>
        <w:t>9.22×10</w:t>
      </w:r>
      <w:r>
        <w:rPr>
          <w:rFonts w:hint="default" w:eastAsia="仿宋"/>
          <w:kern w:val="2"/>
          <w:sz w:val="28"/>
          <w:szCs w:val="28"/>
          <w:vertAlign w:val="superscript"/>
        </w:rPr>
        <w:t>-3</w:t>
      </w:r>
      <w:r>
        <w:rPr>
          <w:rFonts w:hint="default" w:eastAsia="仿宋"/>
          <w:kern w:val="2"/>
          <w:sz w:val="28"/>
          <w:szCs w:val="28"/>
        </w:rPr>
        <w:t xml:space="preserve"> mg/kg</w:t>
      </w:r>
      <w:r>
        <w:rPr>
          <w:rFonts w:hint="default" w:ascii="Times New Roman" w:hAnsi="Times New Roman" w:eastAsia="仿宋"/>
          <w:kern w:val="2"/>
          <w:sz w:val="28"/>
          <w:szCs w:val="28"/>
        </w:rPr>
        <w:t>、</w:t>
      </w:r>
      <w:r>
        <w:rPr>
          <w:rFonts w:hint="default" w:eastAsia="仿宋"/>
          <w:kern w:val="2"/>
          <w:sz w:val="28"/>
          <w:szCs w:val="28"/>
        </w:rPr>
        <w:t>1.19×10</w:t>
      </w:r>
      <w:r>
        <w:rPr>
          <w:rFonts w:hint="default" w:eastAsia="仿宋"/>
          <w:kern w:val="2"/>
          <w:sz w:val="28"/>
          <w:szCs w:val="28"/>
          <w:vertAlign w:val="superscript"/>
        </w:rPr>
        <w:t>-2</w:t>
      </w:r>
      <w:r>
        <w:rPr>
          <w:rFonts w:hint="default" w:eastAsia="仿宋"/>
          <w:kern w:val="2"/>
          <w:sz w:val="28"/>
          <w:szCs w:val="28"/>
        </w:rPr>
        <w:t xml:space="preserve"> mg/kg</w:t>
      </w:r>
      <w:r>
        <w:rPr>
          <w:rFonts w:hint="default" w:ascii="Times New Roman" w:hAnsi="Times New Roman" w:eastAsia="仿宋"/>
          <w:kern w:val="2"/>
          <w:sz w:val="28"/>
          <w:szCs w:val="28"/>
        </w:rPr>
        <w:t>，远低于</w:t>
      </w:r>
      <w:r>
        <w:rPr>
          <w:rFonts w:hint="default" w:eastAsia="仿宋"/>
          <w:kern w:val="2"/>
          <w:sz w:val="28"/>
          <w:szCs w:val="28"/>
        </w:rPr>
        <w:t xml:space="preserve">GB 2762-2017 </w:t>
      </w:r>
      <w:r>
        <w:rPr>
          <w:rFonts w:hint="default" w:ascii="Times New Roman" w:hAnsi="Times New Roman" w:eastAsia="仿宋"/>
          <w:kern w:val="2"/>
          <w:sz w:val="28"/>
          <w:szCs w:val="28"/>
        </w:rPr>
        <w:t>《食品安全国家标准 食品中污染物限量》中生乳铅含量限量值（</w:t>
      </w:r>
      <w:r>
        <w:rPr>
          <w:rFonts w:hint="default" w:eastAsia="仿宋"/>
          <w:kern w:val="2"/>
          <w:sz w:val="28"/>
          <w:szCs w:val="28"/>
        </w:rPr>
        <w:t>0.05 mg/kg</w:t>
      </w:r>
      <w:r>
        <w:rPr>
          <w:rFonts w:hint="default" w:ascii="Times New Roman" w:hAnsi="Times New Roman" w:eastAsia="仿宋"/>
          <w:kern w:val="2"/>
          <w:sz w:val="28"/>
          <w:szCs w:val="28"/>
        </w:rPr>
        <w:t>）。因此，奶畜的饲料中铅含量小于</w:t>
      </w:r>
      <w:r>
        <w:rPr>
          <w:rFonts w:hint="default" w:eastAsia="仿宋"/>
          <w:kern w:val="2"/>
          <w:sz w:val="28"/>
          <w:szCs w:val="28"/>
        </w:rPr>
        <w:t>≤5 mg/kg</w:t>
      </w:r>
      <w:r>
        <w:rPr>
          <w:rFonts w:hint="default" w:ascii="Times New Roman" w:hAnsi="Times New Roman" w:eastAsia="仿宋"/>
          <w:kern w:val="2"/>
          <w:sz w:val="28"/>
          <w:szCs w:val="28"/>
        </w:rPr>
        <w:t>生产出的生乳是安全的。</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kern w:val="2"/>
          <w:sz w:val="28"/>
          <w:szCs w:val="28"/>
        </w:rPr>
      </w:pP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kern w:val="2"/>
          <w:sz w:val="28"/>
          <w:szCs w:val="28"/>
        </w:rPr>
      </w:pPr>
    </w:p>
    <w:p>
      <w:pPr>
        <w:pageBreakBefore w:val="0"/>
        <w:kinsoku/>
        <w:wordWrap/>
        <w:overflowPunct/>
        <w:topLinePunct w:val="0"/>
        <w:autoSpaceDE/>
        <w:bidi w:val="0"/>
        <w:snapToGrid w:val="0"/>
        <w:spacing w:line="360" w:lineRule="auto"/>
        <w:jc w:val="center"/>
        <w:textAlignment w:val="auto"/>
        <w:rPr>
          <w:sz w:val="21"/>
          <w:szCs w:val="21"/>
        </w:rPr>
      </w:pPr>
      <w:r>
        <w:rPr>
          <w:rFonts w:ascii="宋体" w:hAnsi="宋体"/>
          <w:sz w:val="21"/>
          <w:szCs w:val="21"/>
        </w:rPr>
        <w:t>饲料中铅限量</w:t>
      </w:r>
    </w:p>
    <w:tbl>
      <w:tblPr>
        <w:tblStyle w:val="10"/>
        <w:tblW w:w="828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327"/>
        <w:gridCol w:w="3155"/>
        <w:gridCol w:w="2360"/>
        <w:gridCol w:w="14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327" w:type="dxa"/>
          </w:tcPr>
          <w:p>
            <w:pPr>
              <w:pageBreakBefore w:val="0"/>
              <w:widowControl w:val="0"/>
              <w:kinsoku/>
              <w:wordWrap/>
              <w:overflowPunct/>
              <w:topLinePunct w:val="0"/>
              <w:autoSpaceDE/>
              <w:bidi w:val="0"/>
              <w:spacing w:line="360" w:lineRule="auto"/>
              <w:jc w:val="center"/>
              <w:textAlignment w:val="auto"/>
              <w:rPr>
                <w:b/>
                <w:bCs/>
                <w:kern w:val="2"/>
                <w:sz w:val="21"/>
                <w:szCs w:val="21"/>
              </w:rPr>
            </w:pPr>
          </w:p>
        </w:tc>
        <w:tc>
          <w:tcPr>
            <w:tcW w:w="3155" w:type="dxa"/>
          </w:tcPr>
          <w:p>
            <w:pPr>
              <w:pageBreakBefore w:val="0"/>
              <w:widowControl w:val="0"/>
              <w:kinsoku/>
              <w:wordWrap/>
              <w:overflowPunct/>
              <w:topLinePunct w:val="0"/>
              <w:autoSpaceDE/>
              <w:bidi w:val="0"/>
              <w:spacing w:line="360" w:lineRule="auto"/>
              <w:jc w:val="center"/>
              <w:textAlignment w:val="auto"/>
              <w:rPr>
                <w:b/>
                <w:bCs/>
                <w:kern w:val="2"/>
                <w:sz w:val="21"/>
                <w:szCs w:val="21"/>
              </w:rPr>
            </w:pPr>
            <w:r>
              <w:rPr>
                <w:b/>
                <w:bCs/>
                <w:kern w:val="2"/>
                <w:sz w:val="21"/>
                <w:szCs w:val="21"/>
              </w:rPr>
              <w:t>产品名称</w:t>
            </w:r>
          </w:p>
        </w:tc>
        <w:tc>
          <w:tcPr>
            <w:tcW w:w="2360" w:type="dxa"/>
          </w:tcPr>
          <w:p>
            <w:pPr>
              <w:pageBreakBefore w:val="0"/>
              <w:widowControl w:val="0"/>
              <w:kinsoku/>
              <w:wordWrap/>
              <w:overflowPunct/>
              <w:topLinePunct w:val="0"/>
              <w:autoSpaceDE/>
              <w:bidi w:val="0"/>
              <w:spacing w:line="360" w:lineRule="auto"/>
              <w:jc w:val="center"/>
              <w:textAlignment w:val="auto"/>
              <w:rPr>
                <w:b/>
                <w:bCs/>
                <w:kern w:val="2"/>
                <w:sz w:val="21"/>
                <w:szCs w:val="21"/>
              </w:rPr>
            </w:pPr>
            <w:r>
              <w:rPr>
                <w:b/>
                <w:bCs/>
                <w:kern w:val="2"/>
                <w:sz w:val="21"/>
                <w:szCs w:val="21"/>
              </w:rPr>
              <w:t>铅限量</w:t>
            </w:r>
          </w:p>
          <w:p>
            <w:pPr>
              <w:pageBreakBefore w:val="0"/>
              <w:widowControl w:val="0"/>
              <w:kinsoku/>
              <w:wordWrap/>
              <w:overflowPunct/>
              <w:topLinePunct w:val="0"/>
              <w:autoSpaceDE/>
              <w:bidi w:val="0"/>
              <w:spacing w:line="360" w:lineRule="auto"/>
              <w:jc w:val="center"/>
              <w:textAlignment w:val="auto"/>
              <w:rPr>
                <w:b/>
                <w:bCs/>
                <w:kern w:val="2"/>
                <w:sz w:val="21"/>
                <w:szCs w:val="21"/>
              </w:rPr>
            </w:pPr>
            <w:r>
              <w:rPr>
                <w:b/>
                <w:bCs/>
                <w:kern w:val="2"/>
                <w:sz w:val="21"/>
                <w:szCs w:val="21"/>
              </w:rPr>
              <w:t>（mg/kg）</w:t>
            </w:r>
          </w:p>
        </w:tc>
        <w:tc>
          <w:tcPr>
            <w:tcW w:w="1444" w:type="dxa"/>
          </w:tcPr>
          <w:p>
            <w:pPr>
              <w:pageBreakBefore w:val="0"/>
              <w:widowControl w:val="0"/>
              <w:kinsoku/>
              <w:wordWrap/>
              <w:overflowPunct/>
              <w:topLinePunct w:val="0"/>
              <w:autoSpaceDE/>
              <w:bidi w:val="0"/>
              <w:spacing w:line="360" w:lineRule="auto"/>
              <w:jc w:val="center"/>
              <w:textAlignment w:val="auto"/>
              <w:rPr>
                <w:b/>
                <w:bCs/>
                <w:kern w:val="2"/>
                <w:sz w:val="21"/>
                <w:szCs w:val="21"/>
              </w:rPr>
            </w:pPr>
            <w:r>
              <w:rPr>
                <w:b/>
                <w:bCs/>
                <w:kern w:val="2"/>
                <w:sz w:val="21"/>
                <w:szCs w:val="21"/>
              </w:rPr>
              <w:t>检测方法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327" w:type="dxa"/>
            <w:vMerge w:val="restart"/>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饲料原料</w:t>
            </w:r>
          </w:p>
        </w:tc>
        <w:tc>
          <w:tcPr>
            <w:tcW w:w="3155"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单细胞蛋白饲料原料</w:t>
            </w:r>
          </w:p>
        </w:tc>
        <w:tc>
          <w:tcPr>
            <w:tcW w:w="236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≤5</w:t>
            </w:r>
          </w:p>
        </w:tc>
        <w:tc>
          <w:tcPr>
            <w:tcW w:w="1444" w:type="dxa"/>
            <w:vMerge w:val="restart"/>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GB/T 13080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vAlign w:val="center"/>
          </w:tcPr>
          <w:p>
            <w:pPr>
              <w:pageBreakBefore w:val="0"/>
              <w:widowControl w:val="0"/>
              <w:kinsoku/>
              <w:wordWrap/>
              <w:overflowPunct/>
              <w:topLinePunct w:val="0"/>
              <w:autoSpaceDE/>
              <w:bidi w:val="0"/>
              <w:spacing w:line="360" w:lineRule="auto"/>
              <w:jc w:val="both"/>
              <w:textAlignment w:val="auto"/>
              <w:rPr>
                <w:kern w:val="2"/>
                <w:sz w:val="21"/>
                <w:szCs w:val="21"/>
              </w:rPr>
            </w:pPr>
          </w:p>
        </w:tc>
        <w:tc>
          <w:tcPr>
            <w:tcW w:w="3155"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矿物质饲料原料</w:t>
            </w:r>
          </w:p>
        </w:tc>
        <w:tc>
          <w:tcPr>
            <w:tcW w:w="236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≤15</w:t>
            </w:r>
          </w:p>
        </w:tc>
        <w:tc>
          <w:tcPr>
            <w:tcW w:w="0" w:type="auto"/>
            <w:vMerge w:val="continue"/>
            <w:vAlign w:val="center"/>
          </w:tcPr>
          <w:p>
            <w:pPr>
              <w:pageBreakBefore w:val="0"/>
              <w:kinsoku/>
              <w:wordWrap/>
              <w:overflowPunct/>
              <w:topLinePunct w:val="0"/>
              <w:autoSpaceDE/>
              <w:bidi w:val="0"/>
              <w:spacing w:line="360" w:lineRule="auto"/>
              <w:ind w:firstLine="420" w:firstLineChars="200"/>
              <w:textAlignment w:val="auto"/>
              <w:rPr>
                <w:kern w:val="2"/>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vAlign w:val="center"/>
          </w:tcPr>
          <w:p>
            <w:pPr>
              <w:pageBreakBefore w:val="0"/>
              <w:widowControl w:val="0"/>
              <w:kinsoku/>
              <w:wordWrap/>
              <w:overflowPunct/>
              <w:topLinePunct w:val="0"/>
              <w:autoSpaceDE/>
              <w:bidi w:val="0"/>
              <w:spacing w:line="360" w:lineRule="auto"/>
              <w:jc w:val="both"/>
              <w:textAlignment w:val="auto"/>
              <w:rPr>
                <w:kern w:val="2"/>
                <w:sz w:val="21"/>
                <w:szCs w:val="21"/>
              </w:rPr>
            </w:pPr>
          </w:p>
        </w:tc>
        <w:tc>
          <w:tcPr>
            <w:tcW w:w="3155"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饲草、粗饲料及其加工产品</w:t>
            </w:r>
          </w:p>
        </w:tc>
        <w:tc>
          <w:tcPr>
            <w:tcW w:w="236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≤30</w:t>
            </w:r>
          </w:p>
        </w:tc>
        <w:tc>
          <w:tcPr>
            <w:tcW w:w="0" w:type="auto"/>
            <w:vMerge w:val="continue"/>
            <w:vAlign w:val="center"/>
          </w:tcPr>
          <w:p>
            <w:pPr>
              <w:pageBreakBefore w:val="0"/>
              <w:kinsoku/>
              <w:wordWrap/>
              <w:overflowPunct/>
              <w:topLinePunct w:val="0"/>
              <w:autoSpaceDE/>
              <w:bidi w:val="0"/>
              <w:spacing w:line="360" w:lineRule="auto"/>
              <w:ind w:firstLine="420" w:firstLineChars="200"/>
              <w:textAlignment w:val="auto"/>
              <w:rPr>
                <w:kern w:val="2"/>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vAlign w:val="center"/>
          </w:tcPr>
          <w:p>
            <w:pPr>
              <w:pageBreakBefore w:val="0"/>
              <w:widowControl w:val="0"/>
              <w:kinsoku/>
              <w:wordWrap/>
              <w:overflowPunct/>
              <w:topLinePunct w:val="0"/>
              <w:autoSpaceDE/>
              <w:bidi w:val="0"/>
              <w:spacing w:line="360" w:lineRule="auto"/>
              <w:jc w:val="both"/>
              <w:textAlignment w:val="auto"/>
              <w:rPr>
                <w:kern w:val="2"/>
                <w:sz w:val="21"/>
                <w:szCs w:val="21"/>
              </w:rPr>
            </w:pPr>
          </w:p>
        </w:tc>
        <w:tc>
          <w:tcPr>
            <w:tcW w:w="3155"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其他饲料原料</w:t>
            </w:r>
          </w:p>
        </w:tc>
        <w:tc>
          <w:tcPr>
            <w:tcW w:w="236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≤10</w:t>
            </w:r>
          </w:p>
        </w:tc>
        <w:tc>
          <w:tcPr>
            <w:tcW w:w="0" w:type="auto"/>
            <w:vMerge w:val="continue"/>
            <w:vAlign w:val="center"/>
          </w:tcPr>
          <w:p>
            <w:pPr>
              <w:pageBreakBefore w:val="0"/>
              <w:kinsoku/>
              <w:wordWrap/>
              <w:overflowPunct/>
              <w:topLinePunct w:val="0"/>
              <w:autoSpaceDE/>
              <w:bidi w:val="0"/>
              <w:spacing w:line="360" w:lineRule="auto"/>
              <w:ind w:firstLine="420" w:firstLineChars="200"/>
              <w:textAlignment w:val="auto"/>
              <w:rPr>
                <w:kern w:val="2"/>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327" w:type="dxa"/>
            <w:vMerge w:val="restart"/>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饲料产品</w:t>
            </w:r>
          </w:p>
        </w:tc>
        <w:tc>
          <w:tcPr>
            <w:tcW w:w="3155"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添加剂预混合饲料</w:t>
            </w:r>
          </w:p>
        </w:tc>
        <w:tc>
          <w:tcPr>
            <w:tcW w:w="236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≤40</w:t>
            </w:r>
          </w:p>
        </w:tc>
        <w:tc>
          <w:tcPr>
            <w:tcW w:w="0" w:type="auto"/>
            <w:vMerge w:val="continue"/>
            <w:vAlign w:val="center"/>
          </w:tcPr>
          <w:p>
            <w:pPr>
              <w:pageBreakBefore w:val="0"/>
              <w:kinsoku/>
              <w:wordWrap/>
              <w:overflowPunct/>
              <w:topLinePunct w:val="0"/>
              <w:autoSpaceDE/>
              <w:bidi w:val="0"/>
              <w:spacing w:line="360" w:lineRule="auto"/>
              <w:ind w:firstLine="420" w:firstLineChars="200"/>
              <w:textAlignment w:val="auto"/>
              <w:rPr>
                <w:kern w:val="2"/>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vAlign w:val="center"/>
          </w:tcPr>
          <w:p>
            <w:pPr>
              <w:pageBreakBefore w:val="0"/>
              <w:widowControl w:val="0"/>
              <w:kinsoku/>
              <w:wordWrap/>
              <w:overflowPunct/>
              <w:topLinePunct w:val="0"/>
              <w:autoSpaceDE/>
              <w:bidi w:val="0"/>
              <w:spacing w:line="360" w:lineRule="auto"/>
              <w:jc w:val="both"/>
              <w:textAlignment w:val="auto"/>
              <w:rPr>
                <w:kern w:val="2"/>
                <w:sz w:val="21"/>
                <w:szCs w:val="21"/>
              </w:rPr>
            </w:pPr>
          </w:p>
        </w:tc>
        <w:tc>
          <w:tcPr>
            <w:tcW w:w="3155"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浓缩饲料</w:t>
            </w:r>
          </w:p>
        </w:tc>
        <w:tc>
          <w:tcPr>
            <w:tcW w:w="236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≤10</w:t>
            </w:r>
          </w:p>
        </w:tc>
        <w:tc>
          <w:tcPr>
            <w:tcW w:w="0" w:type="auto"/>
            <w:vMerge w:val="continue"/>
            <w:vAlign w:val="center"/>
          </w:tcPr>
          <w:p>
            <w:pPr>
              <w:pageBreakBefore w:val="0"/>
              <w:kinsoku/>
              <w:wordWrap/>
              <w:overflowPunct/>
              <w:topLinePunct w:val="0"/>
              <w:autoSpaceDE/>
              <w:bidi w:val="0"/>
              <w:spacing w:line="360" w:lineRule="auto"/>
              <w:ind w:firstLine="420" w:firstLineChars="200"/>
              <w:textAlignment w:val="auto"/>
              <w:rPr>
                <w:kern w:val="2"/>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vAlign w:val="center"/>
          </w:tcPr>
          <w:p>
            <w:pPr>
              <w:pageBreakBefore w:val="0"/>
              <w:widowControl w:val="0"/>
              <w:kinsoku/>
              <w:wordWrap/>
              <w:overflowPunct/>
              <w:topLinePunct w:val="0"/>
              <w:autoSpaceDE/>
              <w:bidi w:val="0"/>
              <w:spacing w:line="360" w:lineRule="auto"/>
              <w:jc w:val="both"/>
              <w:textAlignment w:val="auto"/>
              <w:rPr>
                <w:kern w:val="2"/>
                <w:sz w:val="21"/>
                <w:szCs w:val="21"/>
              </w:rPr>
            </w:pPr>
          </w:p>
        </w:tc>
        <w:tc>
          <w:tcPr>
            <w:tcW w:w="3155"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精料补充料</w:t>
            </w:r>
          </w:p>
        </w:tc>
        <w:tc>
          <w:tcPr>
            <w:tcW w:w="236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≤8</w:t>
            </w:r>
          </w:p>
        </w:tc>
        <w:tc>
          <w:tcPr>
            <w:tcW w:w="0" w:type="auto"/>
            <w:vMerge w:val="continue"/>
            <w:vAlign w:val="center"/>
          </w:tcPr>
          <w:p>
            <w:pPr>
              <w:pageBreakBefore w:val="0"/>
              <w:kinsoku/>
              <w:wordWrap/>
              <w:overflowPunct/>
              <w:topLinePunct w:val="0"/>
              <w:autoSpaceDE/>
              <w:bidi w:val="0"/>
              <w:spacing w:line="360" w:lineRule="auto"/>
              <w:ind w:firstLine="420" w:firstLineChars="200"/>
              <w:textAlignment w:val="auto"/>
              <w:rPr>
                <w:kern w:val="2"/>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vAlign w:val="center"/>
          </w:tcPr>
          <w:p>
            <w:pPr>
              <w:pageBreakBefore w:val="0"/>
              <w:widowControl w:val="0"/>
              <w:kinsoku/>
              <w:wordWrap/>
              <w:overflowPunct/>
              <w:topLinePunct w:val="0"/>
              <w:autoSpaceDE/>
              <w:bidi w:val="0"/>
              <w:spacing w:line="360" w:lineRule="auto"/>
              <w:jc w:val="both"/>
              <w:textAlignment w:val="auto"/>
              <w:rPr>
                <w:kern w:val="2"/>
                <w:sz w:val="21"/>
                <w:szCs w:val="21"/>
              </w:rPr>
            </w:pPr>
          </w:p>
        </w:tc>
        <w:tc>
          <w:tcPr>
            <w:tcW w:w="3155"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配合饲料</w:t>
            </w:r>
          </w:p>
        </w:tc>
        <w:tc>
          <w:tcPr>
            <w:tcW w:w="236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≤5</w:t>
            </w:r>
          </w:p>
        </w:tc>
        <w:tc>
          <w:tcPr>
            <w:tcW w:w="0" w:type="auto"/>
            <w:vMerge w:val="continue"/>
            <w:vAlign w:val="center"/>
          </w:tcPr>
          <w:p>
            <w:pPr>
              <w:pageBreakBefore w:val="0"/>
              <w:kinsoku/>
              <w:wordWrap/>
              <w:overflowPunct/>
              <w:topLinePunct w:val="0"/>
              <w:autoSpaceDE/>
              <w:bidi w:val="0"/>
              <w:spacing w:line="360" w:lineRule="auto"/>
              <w:ind w:firstLine="420" w:firstLineChars="200"/>
              <w:textAlignment w:val="auto"/>
              <w:rPr>
                <w:kern w:val="2"/>
                <w:sz w:val="21"/>
                <w:szCs w:val="21"/>
              </w:rPr>
            </w:pPr>
          </w:p>
        </w:tc>
      </w:tr>
    </w:tbl>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562" w:firstLineChars="200"/>
        <w:jc w:val="left"/>
        <w:textAlignment w:val="auto"/>
        <w:outlineLvl w:val="2"/>
        <w:rPr>
          <w:rFonts w:ascii="黑体" w:hAnsi="黑体" w:eastAsia="黑体"/>
          <w:b/>
          <w:bCs/>
          <w:kern w:val="0"/>
          <w:sz w:val="28"/>
          <w:szCs w:val="22"/>
        </w:rPr>
      </w:pPr>
      <w:r>
        <w:rPr>
          <w:rFonts w:hint="eastAsia" w:ascii="黑体" w:hAnsi="黑体" w:eastAsia="黑体"/>
          <w:b/>
          <w:bCs/>
          <w:kern w:val="0"/>
          <w:sz w:val="28"/>
          <w:szCs w:val="22"/>
          <w:lang w:val="en-US" w:eastAsia="zh-CN"/>
        </w:rPr>
        <w:t>标准内容</w:t>
      </w:r>
      <w:r>
        <w:rPr>
          <w:rFonts w:hint="eastAsia" w:ascii="黑体" w:hAnsi="黑体" w:eastAsia="黑体"/>
          <w:b/>
          <w:bCs/>
          <w:kern w:val="0"/>
          <w:sz w:val="28"/>
          <w:szCs w:val="22"/>
        </w:rPr>
        <w:t>5.1 材质</w:t>
      </w:r>
    </w:p>
    <w:p>
      <w:pPr>
        <w:pageBreakBefore w:val="0"/>
        <w:widowControl/>
        <w:kinsoku/>
        <w:wordWrap/>
        <w:overflowPunct/>
        <w:topLinePunct w:val="0"/>
        <w:autoSpaceDE/>
        <w:bidi w:val="0"/>
        <w:spacing w:line="360" w:lineRule="auto"/>
        <w:ind w:firstLine="560" w:firstLineChars="200"/>
        <w:jc w:val="left"/>
        <w:textAlignment w:val="auto"/>
        <w:outlineLvl w:val="3"/>
        <w:rPr>
          <w:rFonts w:hint="eastAsia" w:ascii="黑体" w:hAnsi="黑体" w:eastAsia="黑体" w:cs="黑体"/>
          <w:kern w:val="0"/>
          <w:sz w:val="28"/>
          <w:szCs w:val="22"/>
        </w:rPr>
      </w:pPr>
      <w:r>
        <w:rPr>
          <w:rFonts w:hint="eastAsia" w:ascii="黑体" w:hAnsi="黑体" w:eastAsia="黑体" w:cs="黑体"/>
          <w:kern w:val="0"/>
          <w:sz w:val="28"/>
          <w:szCs w:val="22"/>
        </w:rPr>
        <w:t>挤乳机及管道中与生乳直接接触的塑料材料，铅含量应符合GB 4806.7的规定；金属材料的铅含量应符合GB 4806.9的规定。</w:t>
      </w:r>
    </w:p>
    <w:p>
      <w:pPr>
        <w:pageBreakBefore w:val="0"/>
        <w:widowControl w:val="0"/>
        <w:kinsoku/>
        <w:wordWrap/>
        <w:overflowPunct/>
        <w:topLinePunct w:val="0"/>
        <w:autoSpaceDE/>
        <w:bidi w:val="0"/>
        <w:spacing w:line="360" w:lineRule="auto"/>
        <w:ind w:firstLine="562" w:firstLineChars="200"/>
        <w:jc w:val="both"/>
        <w:textAlignment w:val="auto"/>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lang w:val="en-US" w:eastAsia="zh-CN"/>
        </w:rPr>
        <w:t>理由及依据：</w:t>
      </w:r>
    </w:p>
    <w:p>
      <w:pPr>
        <w:pageBreakBefore w:val="0"/>
        <w:widowControl w:val="0"/>
        <w:kinsoku/>
        <w:wordWrap/>
        <w:overflowPunct/>
        <w:topLinePunct w:val="0"/>
        <w:autoSpaceDE/>
        <w:bidi w:val="0"/>
        <w:spacing w:line="360" w:lineRule="auto"/>
        <w:ind w:firstLine="560" w:firstLineChars="200"/>
        <w:jc w:val="both"/>
        <w:textAlignment w:val="auto"/>
        <w:outlineLvl w:val="9"/>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在挤乳环节中，铅污染的主要来源</w:t>
      </w:r>
      <w:r>
        <w:rPr>
          <w:rFonts w:hint="default" w:ascii="Times New Roman" w:hAnsi="Times New Roman" w:eastAsia="仿宋" w:cs="Times New Roman"/>
          <w:kern w:val="2"/>
          <w:sz w:val="28"/>
          <w:szCs w:val="28"/>
          <w:lang w:val="en-US" w:eastAsia="zh-CN"/>
        </w:rPr>
        <w:t>之一</w:t>
      </w:r>
      <w:r>
        <w:rPr>
          <w:rFonts w:hint="default" w:ascii="Times New Roman" w:hAnsi="Times New Roman" w:eastAsia="仿宋" w:cs="Times New Roman"/>
          <w:kern w:val="2"/>
          <w:sz w:val="28"/>
          <w:szCs w:val="28"/>
        </w:rPr>
        <w:t>为用具</w:t>
      </w:r>
      <w:r>
        <w:rPr>
          <w:rFonts w:hint="default" w:ascii="Times New Roman" w:hAnsi="Times New Roman" w:eastAsia="仿宋" w:cs="Times New Roman"/>
          <w:kern w:val="2"/>
          <w:sz w:val="28"/>
          <w:szCs w:val="28"/>
          <w:lang w:eastAsia="zh-CN"/>
        </w:rPr>
        <w:t>。</w:t>
      </w:r>
      <w:r>
        <w:rPr>
          <w:rFonts w:hint="default" w:ascii="Times New Roman" w:hAnsi="Times New Roman" w:eastAsia="仿宋" w:cs="Times New Roman"/>
          <w:kern w:val="2"/>
          <w:sz w:val="28"/>
          <w:szCs w:val="28"/>
        </w:rPr>
        <w:t>用具或容器材料为金属和塑料的，《食品安全国家标准 食品接触用塑料材料及制品》GB 4806.7-2016 规定了食品接触用塑料材料及制品重金属的要求（以Pb计≤1 mg/kg，4%乙酸（体积分数）（60℃，2h））。《食品安全国家标准 食品接触用金属材料及制品》规定了GB 4806.9-2016食品接触用金属材料及制品中铅的要求（≤0.05 mg/kg）。</w:t>
      </w:r>
    </w:p>
    <w:p>
      <w:pPr>
        <w:pageBreakBefore w:val="0"/>
        <w:widowControl w:val="0"/>
        <w:numPr>
          <w:ilvl w:val="0"/>
          <w:numId w:val="2"/>
        </w:numPr>
        <w:kinsoku/>
        <w:wordWrap/>
        <w:overflowPunct/>
        <w:topLinePunct w:val="0"/>
        <w:autoSpaceDE/>
        <w:bidi w:val="0"/>
        <w:spacing w:line="360" w:lineRule="auto"/>
        <w:ind w:left="0" w:leftChars="0" w:firstLine="562" w:firstLineChars="200"/>
        <w:jc w:val="both"/>
        <w:textAlignment w:val="auto"/>
        <w:outlineLvl w:val="9"/>
        <w:rPr>
          <w:rFonts w:hint="eastAsia" w:ascii="黑体" w:hAnsi="黑体" w:eastAsia="黑体"/>
          <w:b/>
          <w:bCs/>
          <w:kern w:val="0"/>
          <w:sz w:val="28"/>
          <w:szCs w:val="22"/>
        </w:rPr>
      </w:pPr>
      <w:r>
        <w:rPr>
          <w:rFonts w:hint="eastAsia" w:ascii="黑体" w:hAnsi="黑体" w:eastAsia="黑体"/>
          <w:b/>
          <w:bCs/>
          <w:kern w:val="0"/>
          <w:sz w:val="28"/>
          <w:szCs w:val="22"/>
          <w:lang w:val="en-US" w:eastAsia="zh-CN"/>
        </w:rPr>
        <w:t>标准内容</w:t>
      </w:r>
      <w:r>
        <w:rPr>
          <w:rFonts w:hint="eastAsia" w:ascii="黑体" w:hAnsi="黑体" w:eastAsia="黑体"/>
          <w:b/>
          <w:bCs/>
          <w:kern w:val="0"/>
          <w:sz w:val="28"/>
          <w:szCs w:val="22"/>
        </w:rPr>
        <w:t>5.2消毒剂</w:t>
      </w:r>
    </w:p>
    <w:p>
      <w:pPr>
        <w:pageBreakBefore w:val="0"/>
        <w:widowControl/>
        <w:kinsoku/>
        <w:wordWrap/>
        <w:overflowPunct/>
        <w:topLinePunct w:val="0"/>
        <w:autoSpaceDE/>
        <w:bidi w:val="0"/>
        <w:spacing w:line="360" w:lineRule="auto"/>
        <w:ind w:firstLine="560" w:firstLineChars="200"/>
        <w:jc w:val="left"/>
        <w:textAlignment w:val="auto"/>
        <w:outlineLvl w:val="2"/>
        <w:rPr>
          <w:rFonts w:hint="eastAsia" w:ascii="黑体" w:hAnsi="黑体" w:eastAsia="黑体"/>
          <w:kern w:val="0"/>
          <w:sz w:val="28"/>
          <w:szCs w:val="22"/>
        </w:rPr>
      </w:pPr>
      <w:r>
        <w:rPr>
          <w:rFonts w:hint="eastAsia" w:ascii="黑体" w:hAnsi="黑体" w:eastAsia="黑体"/>
          <w:kern w:val="0"/>
          <w:sz w:val="28"/>
          <w:szCs w:val="22"/>
        </w:rPr>
        <w:t>挤乳机及管道消毒剂铅含量应小于或等于30 mg/kg。</w:t>
      </w:r>
    </w:p>
    <w:p>
      <w:pPr>
        <w:pageBreakBefore w:val="0"/>
        <w:widowControl w:val="0"/>
        <w:kinsoku/>
        <w:wordWrap/>
        <w:overflowPunct/>
        <w:topLinePunct w:val="0"/>
        <w:autoSpaceDE/>
        <w:bidi w:val="0"/>
        <w:spacing w:line="360" w:lineRule="auto"/>
        <w:ind w:firstLine="562" w:firstLineChars="200"/>
        <w:jc w:val="both"/>
        <w:textAlignment w:val="auto"/>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lang w:val="en-US" w:eastAsia="zh-CN"/>
        </w:rPr>
        <w:t>理由及依据：</w:t>
      </w:r>
    </w:p>
    <w:p>
      <w:pPr>
        <w:pageBreakBefore w:val="0"/>
        <w:widowControl w:val="0"/>
        <w:kinsoku/>
        <w:wordWrap/>
        <w:overflowPunct/>
        <w:topLinePunct w:val="0"/>
        <w:autoSpaceDE/>
        <w:bidi w:val="0"/>
        <w:spacing w:line="360" w:lineRule="auto"/>
        <w:ind w:firstLine="560" w:firstLineChars="200"/>
        <w:jc w:val="both"/>
        <w:textAlignment w:val="auto"/>
        <w:outlineLvl w:val="9"/>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在挤乳环节中，铅污染的主要来源</w:t>
      </w:r>
      <w:r>
        <w:rPr>
          <w:rFonts w:hint="default" w:ascii="Times New Roman" w:hAnsi="Times New Roman" w:eastAsia="仿宋" w:cs="Times New Roman"/>
          <w:kern w:val="2"/>
          <w:sz w:val="28"/>
          <w:szCs w:val="28"/>
          <w:lang w:eastAsia="zh-CN"/>
        </w:rPr>
        <w:t>之一</w:t>
      </w:r>
      <w:r>
        <w:rPr>
          <w:rFonts w:hint="default" w:ascii="Times New Roman" w:hAnsi="Times New Roman" w:eastAsia="仿宋" w:cs="Times New Roman"/>
          <w:kern w:val="2"/>
          <w:sz w:val="28"/>
          <w:szCs w:val="28"/>
        </w:rPr>
        <w:t>为消毒剂。《食品安全国家标准 消毒剂》GB 14930.2-2012规定了消毒剂中铅含量的要求</w:t>
      </w:r>
      <w:r>
        <w:rPr>
          <w:rFonts w:hint="default" w:ascii="Times New Roman" w:hAnsi="Times New Roman" w:eastAsia="仿宋" w:cs="Times New Roman"/>
          <w:kern w:val="2"/>
          <w:sz w:val="28"/>
          <w:szCs w:val="28"/>
          <w:lang w:eastAsia="zh-CN"/>
        </w:rPr>
        <w:t>为</w:t>
      </w:r>
      <w:r>
        <w:rPr>
          <w:rFonts w:hint="default" w:ascii="Times New Roman" w:hAnsi="Times New Roman" w:eastAsia="仿宋" w:cs="Times New Roman"/>
          <w:kern w:val="2"/>
          <w:sz w:val="28"/>
          <w:szCs w:val="28"/>
        </w:rPr>
        <w:t xml:space="preserve">≤30 mg/kg。 </w:t>
      </w:r>
    </w:p>
    <w:p>
      <w:pPr>
        <w:pageBreakBefore w:val="0"/>
        <w:widowControl w:val="0"/>
        <w:numPr>
          <w:ilvl w:val="0"/>
          <w:numId w:val="2"/>
        </w:numPr>
        <w:kinsoku/>
        <w:wordWrap/>
        <w:overflowPunct/>
        <w:topLinePunct w:val="0"/>
        <w:autoSpaceDE/>
        <w:bidi w:val="0"/>
        <w:spacing w:line="360" w:lineRule="auto"/>
        <w:ind w:left="0" w:leftChars="0" w:firstLine="562" w:firstLineChars="200"/>
        <w:jc w:val="both"/>
        <w:textAlignment w:val="auto"/>
        <w:outlineLvl w:val="9"/>
        <w:rPr>
          <w:rFonts w:ascii="黑体" w:hAnsi="黑体" w:eastAsia="黑体"/>
          <w:b/>
          <w:bCs/>
          <w:kern w:val="0"/>
          <w:sz w:val="28"/>
          <w:szCs w:val="28"/>
        </w:rPr>
      </w:pPr>
      <w:r>
        <w:rPr>
          <w:rFonts w:hint="eastAsia" w:ascii="黑体" w:hAnsi="黑体" w:eastAsia="黑体"/>
          <w:b/>
          <w:bCs/>
          <w:kern w:val="0"/>
          <w:sz w:val="28"/>
          <w:szCs w:val="28"/>
          <w:lang w:val="en-US" w:eastAsia="zh-CN"/>
        </w:rPr>
        <w:t>标准内容</w:t>
      </w:r>
      <w:r>
        <w:rPr>
          <w:rFonts w:hint="eastAsia" w:ascii="黑体" w:hAnsi="黑体" w:eastAsia="黑体"/>
          <w:b/>
          <w:bCs/>
          <w:kern w:val="0"/>
          <w:sz w:val="28"/>
          <w:szCs w:val="28"/>
        </w:rPr>
        <w:t>5.3清洁用水</w:t>
      </w:r>
    </w:p>
    <w:p>
      <w:pPr>
        <w:pageBreakBefore w:val="0"/>
        <w:widowControl/>
        <w:kinsoku/>
        <w:wordWrap/>
        <w:overflowPunct/>
        <w:topLinePunct w:val="0"/>
        <w:autoSpaceDE/>
        <w:bidi w:val="0"/>
        <w:spacing w:line="360" w:lineRule="auto"/>
        <w:ind w:firstLine="560" w:firstLineChars="200"/>
        <w:jc w:val="left"/>
        <w:textAlignment w:val="auto"/>
        <w:outlineLvl w:val="2"/>
        <w:rPr>
          <w:rFonts w:hint="eastAsia" w:ascii="黑体" w:hAnsi="黑体" w:eastAsia="黑体"/>
          <w:kern w:val="0"/>
          <w:sz w:val="28"/>
          <w:szCs w:val="22"/>
        </w:rPr>
      </w:pPr>
      <w:r>
        <w:rPr>
          <w:rFonts w:hint="eastAsia" w:ascii="黑体" w:hAnsi="黑体" w:eastAsia="黑体"/>
          <w:kern w:val="0"/>
          <w:sz w:val="28"/>
          <w:szCs w:val="22"/>
        </w:rPr>
        <w:t>挤乳机及管道清洁用水铅含量应小于0.01 mg/L。冲洗方式为单向冲洗。</w:t>
      </w:r>
    </w:p>
    <w:p>
      <w:pPr>
        <w:pageBreakBefore w:val="0"/>
        <w:widowControl w:val="0"/>
        <w:kinsoku/>
        <w:wordWrap/>
        <w:overflowPunct/>
        <w:topLinePunct w:val="0"/>
        <w:autoSpaceDE/>
        <w:bidi w:val="0"/>
        <w:spacing w:line="360" w:lineRule="auto"/>
        <w:ind w:firstLine="562" w:firstLineChars="200"/>
        <w:jc w:val="both"/>
        <w:textAlignment w:val="auto"/>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lang w:val="en-US" w:eastAsia="zh-CN"/>
        </w:rPr>
        <w:t>理由及依据：</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在挤乳环节中，铅污染的主要来源</w:t>
      </w:r>
      <w:r>
        <w:rPr>
          <w:rFonts w:hint="default" w:ascii="Times New Roman" w:hAnsi="Times New Roman" w:eastAsia="仿宋" w:cs="Times New Roman"/>
          <w:kern w:val="2"/>
          <w:sz w:val="28"/>
          <w:szCs w:val="28"/>
          <w:lang w:eastAsia="zh-CN"/>
        </w:rPr>
        <w:t>之一</w:t>
      </w:r>
      <w:r>
        <w:rPr>
          <w:rFonts w:hint="default" w:ascii="Times New Roman" w:hAnsi="Times New Roman" w:eastAsia="仿宋" w:cs="Times New Roman"/>
          <w:kern w:val="2"/>
          <w:sz w:val="28"/>
          <w:szCs w:val="28"/>
        </w:rPr>
        <w:t>为清洁用水。《生活饮用水卫生标准》GB 5749-2006对铅含量作了明确规定（&lt;0.01 mg/L），本文件中挤奶、贮存与运输环节中清洁用水采用此标准可确保生乳中铅的控制。</w:t>
      </w:r>
    </w:p>
    <w:p>
      <w:pPr>
        <w:keepNext w:val="0"/>
        <w:keepLines w:val="0"/>
        <w:pageBreakBefore w:val="0"/>
        <w:widowControl/>
        <w:kinsoku/>
        <w:wordWrap/>
        <w:overflowPunct/>
        <w:topLinePunct w:val="0"/>
        <w:autoSpaceDE/>
        <w:autoSpaceDN/>
        <w:bidi w:val="0"/>
        <w:adjustRightInd/>
        <w:snapToGrid/>
        <w:spacing w:line="360" w:lineRule="auto"/>
        <w:ind w:firstLine="562" w:firstLineChars="200"/>
        <w:jc w:val="left"/>
        <w:textAlignment w:val="auto"/>
        <w:outlineLvl w:val="2"/>
        <w:rPr>
          <w:rFonts w:hint="eastAsia" w:ascii="黑体" w:hAnsi="黑体" w:eastAsia="黑体" w:cs="黑体"/>
          <w:b/>
          <w:bCs/>
          <w:kern w:val="0"/>
          <w:sz w:val="28"/>
          <w:szCs w:val="22"/>
        </w:rPr>
      </w:pPr>
      <w:r>
        <w:rPr>
          <w:rFonts w:hint="eastAsia" w:ascii="黑体" w:hAnsi="黑体" w:eastAsia="黑体" w:cs="黑体"/>
          <w:b/>
          <w:bCs/>
          <w:kern w:val="0"/>
          <w:sz w:val="28"/>
          <w:szCs w:val="22"/>
          <w:lang w:val="en-US" w:eastAsia="zh-CN"/>
        </w:rPr>
        <w:t>6.标准内容</w:t>
      </w:r>
      <w:r>
        <w:rPr>
          <w:rFonts w:hint="eastAsia" w:ascii="黑体" w:hAnsi="黑体" w:eastAsia="黑体" w:cs="黑体"/>
          <w:b/>
          <w:bCs/>
          <w:kern w:val="0"/>
          <w:sz w:val="28"/>
          <w:szCs w:val="22"/>
        </w:rPr>
        <w:t>6.1</w:t>
      </w:r>
      <w:bookmarkStart w:id="1" w:name="_Hlk61527604"/>
      <w:r>
        <w:rPr>
          <w:rFonts w:hint="eastAsia" w:ascii="黑体" w:hAnsi="黑体" w:eastAsia="黑体" w:cs="黑体"/>
          <w:b/>
          <w:bCs/>
          <w:kern w:val="0"/>
          <w:sz w:val="28"/>
          <w:szCs w:val="22"/>
        </w:rPr>
        <w:t>贮运容器</w:t>
      </w:r>
      <w:bookmarkEnd w:id="1"/>
    </w:p>
    <w:p>
      <w:pPr>
        <w:pageBreakBefore w:val="0"/>
        <w:widowControl/>
        <w:kinsoku/>
        <w:wordWrap/>
        <w:overflowPunct/>
        <w:topLinePunct w:val="0"/>
        <w:autoSpaceDE/>
        <w:bidi w:val="0"/>
        <w:spacing w:line="360" w:lineRule="auto"/>
        <w:ind w:firstLine="560" w:firstLineChars="200"/>
        <w:jc w:val="left"/>
        <w:textAlignment w:val="auto"/>
        <w:outlineLvl w:val="3"/>
        <w:rPr>
          <w:rFonts w:hint="eastAsia" w:ascii="黑体" w:hAnsi="黑体" w:eastAsia="黑体" w:cs="黑体"/>
          <w:kern w:val="0"/>
          <w:sz w:val="28"/>
          <w:szCs w:val="22"/>
        </w:rPr>
      </w:pPr>
      <w:r>
        <w:rPr>
          <w:rFonts w:hint="eastAsia" w:ascii="黑体" w:hAnsi="黑体" w:eastAsia="黑体" w:cs="黑体"/>
          <w:kern w:val="0"/>
          <w:sz w:val="28"/>
          <w:szCs w:val="22"/>
        </w:rPr>
        <w:t>生乳贮存、运输应配备直冷式或带有制冷系统的不锈钢贮奶罐，容器内部使用材料应符合GB 4806.9的规定。</w:t>
      </w:r>
    </w:p>
    <w:p>
      <w:pPr>
        <w:pageBreakBefore w:val="0"/>
        <w:widowControl w:val="0"/>
        <w:kinsoku/>
        <w:wordWrap/>
        <w:overflowPunct/>
        <w:topLinePunct w:val="0"/>
        <w:autoSpaceDE/>
        <w:bidi w:val="0"/>
        <w:spacing w:line="360" w:lineRule="auto"/>
        <w:ind w:firstLine="562" w:firstLineChars="200"/>
        <w:jc w:val="both"/>
        <w:textAlignment w:val="auto"/>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lang w:val="en-US" w:eastAsia="zh-CN"/>
        </w:rPr>
        <w:t>理由及依据：</w:t>
      </w:r>
    </w:p>
    <w:p>
      <w:pPr>
        <w:pageBreakBefore w:val="0"/>
        <w:widowControl/>
        <w:kinsoku/>
        <w:wordWrap/>
        <w:overflowPunct/>
        <w:topLinePunct w:val="0"/>
        <w:autoSpaceDE/>
        <w:bidi w:val="0"/>
        <w:spacing w:line="360" w:lineRule="auto"/>
        <w:ind w:firstLine="560" w:firstLineChars="200"/>
        <w:jc w:val="both"/>
        <w:textAlignment w:val="auto"/>
        <w:outlineLvl w:val="3"/>
        <w:rPr>
          <w:rFonts w:hint="default" w:ascii="Times New Roman" w:hAnsi="Times New Roman" w:eastAsia="仿宋" w:cs="Times New Roman"/>
          <w:sz w:val="28"/>
          <w:szCs w:val="22"/>
        </w:rPr>
      </w:pPr>
      <w:r>
        <w:rPr>
          <w:rFonts w:hint="default" w:ascii="Times New Roman" w:hAnsi="Times New Roman" w:eastAsia="仿宋" w:cs="Times New Roman"/>
          <w:sz w:val="28"/>
          <w:szCs w:val="22"/>
        </w:rPr>
        <w:t>在贮运环节中，铅污染的主要来源</w:t>
      </w:r>
      <w:r>
        <w:rPr>
          <w:rFonts w:hint="default" w:ascii="Times New Roman" w:hAnsi="Times New Roman" w:eastAsia="仿宋" w:cs="Times New Roman"/>
          <w:sz w:val="28"/>
          <w:szCs w:val="22"/>
          <w:lang w:eastAsia="zh-CN"/>
        </w:rPr>
        <w:t>之一</w:t>
      </w:r>
      <w:r>
        <w:rPr>
          <w:rFonts w:hint="default" w:ascii="Times New Roman" w:hAnsi="Times New Roman" w:eastAsia="仿宋" w:cs="Times New Roman"/>
          <w:sz w:val="28"/>
          <w:szCs w:val="22"/>
        </w:rPr>
        <w:t>为用具或容器材料。《食品安全国家标准 食品接触用塑料材料及制品》GB</w:t>
      </w:r>
      <w:r>
        <w:rPr>
          <w:rFonts w:hint="default" w:ascii="Times New Roman" w:hAnsi="Times New Roman" w:eastAsia="仿宋" w:cs="Times New Roman"/>
          <w:sz w:val="28"/>
          <w:szCs w:val="22"/>
          <w:lang w:val="en-US" w:eastAsia="zh-CN"/>
        </w:rPr>
        <w:t xml:space="preserve"> </w:t>
      </w:r>
      <w:r>
        <w:rPr>
          <w:rFonts w:hint="default" w:ascii="Times New Roman" w:hAnsi="Times New Roman" w:eastAsia="仿宋" w:cs="Times New Roman"/>
          <w:sz w:val="28"/>
          <w:szCs w:val="22"/>
        </w:rPr>
        <w:t>4806.7-2016 规定了食品接触用塑料材料及制品重金属的要求（以Pb计≤1 mg/kg，4%乙酸（体积分数）（60℃，2h））。《食品安全国家标准 食品接触用金属材料及制品》规定了GB 4806.9-2016食品接触用金属材料及制品中铅的要求</w:t>
      </w:r>
      <w:r>
        <w:rPr>
          <w:rFonts w:hint="eastAsia" w:eastAsia="仿宋" w:cs="Times New Roman"/>
          <w:sz w:val="28"/>
          <w:szCs w:val="22"/>
          <w:lang w:eastAsia="zh-CN"/>
        </w:rPr>
        <w:t>为</w:t>
      </w:r>
      <w:r>
        <w:rPr>
          <w:rFonts w:hint="default" w:ascii="Times New Roman" w:hAnsi="Times New Roman" w:eastAsia="仿宋" w:cs="Times New Roman"/>
          <w:sz w:val="28"/>
          <w:szCs w:val="22"/>
        </w:rPr>
        <w:t>≤0.05 mg/kg。</w:t>
      </w:r>
    </w:p>
    <w:p>
      <w:pPr>
        <w:pageBreakBefore w:val="0"/>
        <w:widowControl/>
        <w:kinsoku/>
        <w:wordWrap/>
        <w:overflowPunct/>
        <w:topLinePunct w:val="0"/>
        <w:autoSpaceDE/>
        <w:bidi w:val="0"/>
        <w:spacing w:line="360" w:lineRule="auto"/>
        <w:ind w:firstLine="562" w:firstLineChars="200"/>
        <w:jc w:val="left"/>
        <w:textAlignment w:val="auto"/>
        <w:outlineLvl w:val="3"/>
        <w:rPr>
          <w:rFonts w:hint="eastAsia" w:ascii="黑体" w:hAnsi="黑体" w:eastAsia="黑体" w:cs="黑体"/>
          <w:b/>
          <w:bCs/>
          <w:kern w:val="0"/>
          <w:sz w:val="28"/>
          <w:szCs w:val="22"/>
        </w:rPr>
      </w:pPr>
      <w:r>
        <w:rPr>
          <w:rFonts w:hint="eastAsia" w:ascii="黑体" w:hAnsi="黑体" w:eastAsia="黑体" w:cs="黑体"/>
          <w:b/>
          <w:bCs/>
          <w:kern w:val="0"/>
          <w:sz w:val="28"/>
          <w:szCs w:val="22"/>
          <w:lang w:val="en-US" w:eastAsia="zh-CN"/>
        </w:rPr>
        <w:t>7.标准内容</w:t>
      </w:r>
      <w:r>
        <w:rPr>
          <w:rFonts w:hint="eastAsia" w:ascii="黑体" w:hAnsi="黑体" w:eastAsia="黑体" w:cs="黑体"/>
          <w:b/>
          <w:bCs/>
          <w:kern w:val="0"/>
          <w:sz w:val="28"/>
          <w:szCs w:val="22"/>
        </w:rPr>
        <w:t>6.2消毒剂</w:t>
      </w:r>
    </w:p>
    <w:p>
      <w:pPr>
        <w:pageBreakBefore w:val="0"/>
        <w:widowControl/>
        <w:kinsoku/>
        <w:wordWrap/>
        <w:overflowPunct/>
        <w:topLinePunct w:val="0"/>
        <w:autoSpaceDE/>
        <w:bidi w:val="0"/>
        <w:spacing w:line="360" w:lineRule="auto"/>
        <w:ind w:firstLine="560" w:firstLineChars="200"/>
        <w:jc w:val="left"/>
        <w:textAlignment w:val="auto"/>
        <w:outlineLvl w:val="3"/>
        <w:rPr>
          <w:rFonts w:hint="eastAsia" w:ascii="黑体" w:hAnsi="黑体" w:eastAsia="黑体" w:cs="黑体"/>
          <w:kern w:val="0"/>
          <w:sz w:val="28"/>
          <w:szCs w:val="22"/>
        </w:rPr>
      </w:pPr>
      <w:r>
        <w:rPr>
          <w:rFonts w:hint="eastAsia" w:ascii="黑体" w:hAnsi="黑体" w:eastAsia="黑体" w:cs="黑体"/>
          <w:kern w:val="0"/>
          <w:sz w:val="28"/>
          <w:szCs w:val="22"/>
        </w:rPr>
        <w:t>消毒剂铅含量应小于或等于30 mg/kg。</w:t>
      </w:r>
    </w:p>
    <w:p>
      <w:pPr>
        <w:pageBreakBefore w:val="0"/>
        <w:widowControl w:val="0"/>
        <w:kinsoku/>
        <w:wordWrap/>
        <w:overflowPunct/>
        <w:topLinePunct w:val="0"/>
        <w:autoSpaceDE/>
        <w:bidi w:val="0"/>
        <w:spacing w:line="360" w:lineRule="auto"/>
        <w:ind w:firstLine="562" w:firstLineChars="200"/>
        <w:jc w:val="both"/>
        <w:textAlignment w:val="auto"/>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lang w:val="en-US" w:eastAsia="zh-CN"/>
        </w:rPr>
        <w:t>理由及依据：</w:t>
      </w:r>
    </w:p>
    <w:p>
      <w:pPr>
        <w:pageBreakBefore w:val="0"/>
        <w:widowControl/>
        <w:kinsoku/>
        <w:wordWrap/>
        <w:overflowPunct/>
        <w:topLinePunct w:val="0"/>
        <w:autoSpaceDE/>
        <w:bidi w:val="0"/>
        <w:spacing w:line="360" w:lineRule="auto"/>
        <w:ind w:firstLine="560" w:firstLineChars="200"/>
        <w:jc w:val="both"/>
        <w:textAlignment w:val="auto"/>
        <w:outlineLvl w:val="3"/>
        <w:rPr>
          <w:rFonts w:hint="default" w:ascii="Times New Roman" w:hAnsi="Times New Roman" w:eastAsia="仿宋" w:cs="Times New Roman"/>
          <w:sz w:val="28"/>
          <w:szCs w:val="22"/>
        </w:rPr>
      </w:pPr>
      <w:r>
        <w:rPr>
          <w:rFonts w:hint="default" w:ascii="Times New Roman" w:hAnsi="Times New Roman" w:eastAsia="仿宋" w:cs="Times New Roman"/>
          <w:sz w:val="28"/>
          <w:szCs w:val="22"/>
        </w:rPr>
        <w:t>在贮运环节中，铅污染的主要来源</w:t>
      </w:r>
      <w:r>
        <w:rPr>
          <w:rFonts w:hint="default" w:ascii="Times New Roman" w:hAnsi="Times New Roman" w:eastAsia="仿宋" w:cs="Times New Roman"/>
          <w:sz w:val="28"/>
          <w:szCs w:val="22"/>
          <w:lang w:eastAsia="zh-CN"/>
        </w:rPr>
        <w:t>之一</w:t>
      </w:r>
      <w:r>
        <w:rPr>
          <w:rFonts w:hint="default" w:ascii="Times New Roman" w:hAnsi="Times New Roman" w:eastAsia="仿宋" w:cs="Times New Roman"/>
          <w:sz w:val="28"/>
          <w:szCs w:val="22"/>
        </w:rPr>
        <w:t>为消毒剂</w:t>
      </w:r>
      <w:r>
        <w:rPr>
          <w:rFonts w:hint="default" w:ascii="Times New Roman" w:hAnsi="Times New Roman" w:eastAsia="仿宋" w:cs="Times New Roman"/>
          <w:sz w:val="28"/>
          <w:szCs w:val="22"/>
          <w:lang w:eastAsia="zh-CN"/>
        </w:rPr>
        <w:t>。</w:t>
      </w:r>
      <w:r>
        <w:rPr>
          <w:rFonts w:hint="default" w:ascii="Times New Roman" w:hAnsi="Times New Roman" w:eastAsia="仿宋" w:cs="Times New Roman"/>
          <w:sz w:val="28"/>
          <w:szCs w:val="22"/>
        </w:rPr>
        <w:t>《食品安全国家标准 消毒剂》GB 14930.2-2012规定了消毒剂中铅含量的要求</w:t>
      </w:r>
      <w:r>
        <w:rPr>
          <w:rFonts w:hint="default" w:ascii="Times New Roman" w:hAnsi="Times New Roman" w:eastAsia="仿宋" w:cs="Times New Roman"/>
          <w:sz w:val="28"/>
          <w:szCs w:val="22"/>
          <w:lang w:eastAsia="zh-CN"/>
        </w:rPr>
        <w:t>为</w:t>
      </w:r>
      <w:r>
        <w:rPr>
          <w:rFonts w:hint="default" w:ascii="Times New Roman" w:hAnsi="Times New Roman" w:eastAsia="仿宋" w:cs="Times New Roman"/>
          <w:sz w:val="28"/>
          <w:szCs w:val="22"/>
        </w:rPr>
        <w:t xml:space="preserve">≤30 mg/kg）。 </w:t>
      </w:r>
    </w:p>
    <w:p>
      <w:pPr>
        <w:pageBreakBefore w:val="0"/>
        <w:widowControl/>
        <w:numPr>
          <w:ilvl w:val="0"/>
          <w:numId w:val="3"/>
        </w:numPr>
        <w:kinsoku/>
        <w:wordWrap/>
        <w:overflowPunct/>
        <w:topLinePunct w:val="0"/>
        <w:autoSpaceDE/>
        <w:bidi w:val="0"/>
        <w:spacing w:line="360" w:lineRule="auto"/>
        <w:ind w:firstLine="562" w:firstLineChars="200"/>
        <w:jc w:val="left"/>
        <w:textAlignment w:val="auto"/>
        <w:outlineLvl w:val="3"/>
        <w:rPr>
          <w:rFonts w:hint="eastAsia" w:ascii="黑体" w:hAnsi="黑体" w:eastAsia="黑体" w:cs="黑体"/>
          <w:b/>
          <w:bCs/>
          <w:kern w:val="0"/>
          <w:sz w:val="28"/>
          <w:szCs w:val="28"/>
        </w:rPr>
      </w:pPr>
      <w:r>
        <w:rPr>
          <w:rFonts w:hint="eastAsia" w:ascii="黑体" w:hAnsi="黑体" w:eastAsia="黑体" w:cs="黑体"/>
          <w:b/>
          <w:bCs/>
          <w:kern w:val="0"/>
          <w:sz w:val="28"/>
          <w:szCs w:val="28"/>
          <w:lang w:val="en-US" w:eastAsia="zh-CN"/>
        </w:rPr>
        <w:t>标准内容</w:t>
      </w:r>
      <w:r>
        <w:rPr>
          <w:rFonts w:hint="eastAsia" w:ascii="黑体" w:hAnsi="黑体" w:eastAsia="黑体" w:cs="黑体"/>
          <w:b/>
          <w:bCs/>
          <w:kern w:val="0"/>
          <w:sz w:val="28"/>
          <w:szCs w:val="28"/>
        </w:rPr>
        <w:t>6.3 清洁用水</w:t>
      </w:r>
    </w:p>
    <w:p>
      <w:pPr>
        <w:pageBreakBefore w:val="0"/>
        <w:widowControl/>
        <w:kinsoku/>
        <w:wordWrap/>
        <w:overflowPunct/>
        <w:topLinePunct w:val="0"/>
        <w:autoSpaceDE/>
        <w:bidi w:val="0"/>
        <w:spacing w:line="360" w:lineRule="auto"/>
        <w:ind w:firstLine="560" w:firstLineChars="200"/>
        <w:jc w:val="left"/>
        <w:textAlignment w:val="auto"/>
        <w:outlineLvl w:val="3"/>
        <w:rPr>
          <w:rFonts w:hint="eastAsia" w:ascii="黑体" w:hAnsi="黑体" w:eastAsia="黑体" w:cs="黑体"/>
          <w:kern w:val="0"/>
          <w:sz w:val="28"/>
          <w:szCs w:val="28"/>
        </w:rPr>
      </w:pPr>
      <w:r>
        <w:rPr>
          <w:rFonts w:hint="eastAsia" w:ascii="黑体" w:hAnsi="黑体" w:eastAsia="黑体" w:cs="黑体"/>
          <w:kern w:val="0"/>
          <w:sz w:val="28"/>
          <w:szCs w:val="28"/>
        </w:rPr>
        <w:t>清洁用水铅含量应小于0.01 mg/L。</w:t>
      </w:r>
    </w:p>
    <w:p>
      <w:pPr>
        <w:pageBreakBefore w:val="0"/>
        <w:widowControl w:val="0"/>
        <w:kinsoku/>
        <w:wordWrap/>
        <w:overflowPunct/>
        <w:topLinePunct w:val="0"/>
        <w:autoSpaceDE/>
        <w:bidi w:val="0"/>
        <w:spacing w:line="360" w:lineRule="auto"/>
        <w:ind w:firstLine="562" w:firstLineChars="200"/>
        <w:jc w:val="both"/>
        <w:textAlignment w:val="auto"/>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lang w:val="en-US" w:eastAsia="zh-CN"/>
        </w:rPr>
        <w:t>理由及依据：</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在</w:t>
      </w:r>
      <w:r>
        <w:rPr>
          <w:rFonts w:hint="default" w:ascii="Times New Roman" w:hAnsi="Times New Roman" w:eastAsia="仿宋" w:cs="Times New Roman"/>
          <w:kern w:val="2"/>
          <w:sz w:val="28"/>
          <w:szCs w:val="28"/>
          <w:lang w:val="en-US" w:eastAsia="zh-CN"/>
        </w:rPr>
        <w:t>贮运</w:t>
      </w:r>
      <w:r>
        <w:rPr>
          <w:rFonts w:hint="default" w:ascii="Times New Roman" w:hAnsi="Times New Roman" w:eastAsia="仿宋" w:cs="Times New Roman"/>
          <w:kern w:val="2"/>
          <w:sz w:val="28"/>
          <w:szCs w:val="28"/>
        </w:rPr>
        <w:t>环节中，铅污染的主要来源</w:t>
      </w:r>
      <w:r>
        <w:rPr>
          <w:rFonts w:hint="default" w:ascii="Times New Roman" w:hAnsi="Times New Roman" w:eastAsia="仿宋" w:cs="Times New Roman"/>
          <w:kern w:val="2"/>
          <w:sz w:val="28"/>
          <w:szCs w:val="28"/>
          <w:lang w:eastAsia="zh-CN"/>
        </w:rPr>
        <w:t>之一</w:t>
      </w:r>
      <w:r>
        <w:rPr>
          <w:rFonts w:hint="default" w:ascii="Times New Roman" w:hAnsi="Times New Roman" w:eastAsia="仿宋" w:cs="Times New Roman"/>
          <w:kern w:val="2"/>
          <w:sz w:val="28"/>
          <w:szCs w:val="28"/>
        </w:rPr>
        <w:t>为清洁用水。《生活饮用水卫生标准》GB 5749-2006对铅含量作了明确规定</w:t>
      </w:r>
      <w:r>
        <w:rPr>
          <w:rFonts w:hint="default" w:ascii="Times New Roman" w:hAnsi="Times New Roman" w:eastAsia="仿宋" w:cs="Times New Roman"/>
          <w:kern w:val="2"/>
          <w:sz w:val="28"/>
          <w:szCs w:val="28"/>
          <w:lang w:eastAsia="zh-CN"/>
        </w:rPr>
        <w:t>为</w:t>
      </w:r>
      <w:r>
        <w:rPr>
          <w:rFonts w:hint="default" w:ascii="Times New Roman" w:hAnsi="Times New Roman" w:eastAsia="仿宋" w:cs="Times New Roman"/>
          <w:kern w:val="2"/>
          <w:sz w:val="28"/>
          <w:szCs w:val="28"/>
        </w:rPr>
        <w:t>&lt;0.01 mg/L</w:t>
      </w:r>
      <w:r>
        <w:rPr>
          <w:rFonts w:hint="default" w:ascii="Times New Roman" w:hAnsi="Times New Roman" w:eastAsia="仿宋" w:cs="Times New Roman"/>
          <w:kern w:val="2"/>
          <w:sz w:val="28"/>
          <w:szCs w:val="28"/>
          <w:lang w:eastAsia="zh-CN"/>
        </w:rPr>
        <w:t>。</w:t>
      </w:r>
    </w:p>
    <w:p>
      <w:pPr>
        <w:pageBreakBefore w:val="0"/>
        <w:widowControl/>
        <w:numPr>
          <w:ilvl w:val="0"/>
          <w:numId w:val="3"/>
        </w:numPr>
        <w:kinsoku/>
        <w:wordWrap/>
        <w:overflowPunct/>
        <w:topLinePunct w:val="0"/>
        <w:autoSpaceDE/>
        <w:bidi w:val="0"/>
        <w:spacing w:line="360" w:lineRule="auto"/>
        <w:ind w:left="0" w:leftChars="0" w:firstLine="562" w:firstLineChars="200"/>
        <w:jc w:val="left"/>
        <w:textAlignment w:val="auto"/>
        <w:outlineLvl w:val="3"/>
        <w:rPr>
          <w:rFonts w:hint="eastAsia" w:ascii="黑体" w:hAnsi="黑体" w:eastAsia="黑体" w:cs="黑体"/>
          <w:b/>
          <w:bCs/>
          <w:kern w:val="0"/>
          <w:sz w:val="28"/>
          <w:szCs w:val="28"/>
        </w:rPr>
      </w:pPr>
      <w:r>
        <w:rPr>
          <w:rFonts w:hint="eastAsia" w:ascii="黑体" w:hAnsi="黑体" w:eastAsia="黑体" w:cs="黑体"/>
          <w:b/>
          <w:bCs/>
          <w:kern w:val="0"/>
          <w:sz w:val="28"/>
          <w:szCs w:val="28"/>
          <w:lang w:val="en-US" w:eastAsia="zh-CN"/>
        </w:rPr>
        <w:t>标准内容7.1检测</w:t>
      </w:r>
    </w:p>
    <w:p>
      <w:pPr>
        <w:pageBreakBefore w:val="0"/>
        <w:widowControl w:val="0"/>
        <w:kinsoku/>
        <w:wordWrap/>
        <w:overflowPunct/>
        <w:topLinePunct w:val="0"/>
        <w:autoSpaceDE/>
        <w:bidi w:val="0"/>
        <w:spacing w:line="360" w:lineRule="auto"/>
        <w:ind w:firstLine="560" w:firstLineChars="200"/>
        <w:jc w:val="both"/>
        <w:textAlignment w:val="auto"/>
        <w:rPr>
          <w:rFonts w:hint="eastAsia" w:ascii="黑体" w:hAnsi="黑体" w:eastAsia="黑体" w:cs="黑体"/>
          <w:b/>
          <w:kern w:val="2"/>
          <w:sz w:val="28"/>
          <w:szCs w:val="28"/>
          <w:lang w:eastAsia="zh-CN"/>
        </w:rPr>
      </w:pPr>
      <w:r>
        <w:rPr>
          <w:rFonts w:hint="eastAsia" w:ascii="黑体" w:hAnsi="黑体" w:eastAsia="黑体" w:cs="黑体"/>
          <w:kern w:val="0"/>
          <w:sz w:val="28"/>
          <w:szCs w:val="28"/>
        </w:rPr>
        <w:t>生乳中铅的测定方法按照GB 5009.12执行</w:t>
      </w:r>
      <w:r>
        <w:rPr>
          <w:rFonts w:hint="eastAsia" w:ascii="黑体" w:hAnsi="黑体" w:eastAsia="黑体" w:cs="黑体"/>
          <w:kern w:val="0"/>
          <w:sz w:val="28"/>
          <w:szCs w:val="28"/>
          <w:lang w:eastAsia="zh-CN"/>
        </w:rPr>
        <w:t>。</w:t>
      </w:r>
    </w:p>
    <w:p>
      <w:pPr>
        <w:pageBreakBefore w:val="0"/>
        <w:widowControl w:val="0"/>
        <w:kinsoku/>
        <w:wordWrap/>
        <w:overflowPunct/>
        <w:topLinePunct w:val="0"/>
        <w:autoSpaceDE/>
        <w:bidi w:val="0"/>
        <w:spacing w:line="360" w:lineRule="auto"/>
        <w:ind w:firstLine="562" w:firstLineChars="200"/>
        <w:jc w:val="both"/>
        <w:textAlignment w:val="auto"/>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lang w:val="en-US" w:eastAsia="zh-CN"/>
        </w:rPr>
        <w:t>理由及依据：</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b/>
          <w:bCs/>
          <w:kern w:val="2"/>
          <w:sz w:val="28"/>
          <w:szCs w:val="28"/>
          <w:lang w:val="en-US" w:eastAsia="zh-CN"/>
        </w:rPr>
      </w:pPr>
      <w:r>
        <w:rPr>
          <w:rFonts w:hint="default" w:ascii="Times New Roman" w:hAnsi="Times New Roman" w:eastAsia="仿宋" w:cs="Times New Roman"/>
          <w:kern w:val="0"/>
          <w:sz w:val="28"/>
          <w:szCs w:val="28"/>
        </w:rPr>
        <w:t>GB 5009.12</w:t>
      </w:r>
      <w:r>
        <w:rPr>
          <w:rFonts w:hint="default" w:ascii="Times New Roman" w:hAnsi="Times New Roman" w:eastAsia="仿宋" w:cs="Times New Roman"/>
          <w:kern w:val="0"/>
          <w:sz w:val="28"/>
          <w:szCs w:val="28"/>
          <w:lang w:val="en-US" w:eastAsia="zh-CN"/>
        </w:rPr>
        <w:t>是强制性国家标准，铅的检测必须按照此标准执行。</w:t>
      </w:r>
    </w:p>
    <w:p>
      <w:pPr>
        <w:pStyle w:val="24"/>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360" w:lineRule="auto"/>
        <w:ind w:leftChars="0" w:firstLine="562" w:firstLineChars="200"/>
        <w:textAlignment w:val="auto"/>
        <w:rPr>
          <w:rFonts w:hint="default" w:ascii="黑体" w:hAnsi="黑体" w:eastAsia="黑体" w:cs="黑体"/>
          <w:b/>
          <w:bCs/>
          <w:sz w:val="28"/>
          <w:szCs w:val="28"/>
          <w:lang w:val="en-US" w:eastAsia="zh-CN"/>
        </w:rPr>
      </w:pPr>
      <w:r>
        <w:rPr>
          <w:rFonts w:hint="eastAsia" w:hAnsi="黑体" w:cs="黑体"/>
          <w:b/>
          <w:bCs/>
          <w:sz w:val="28"/>
          <w:szCs w:val="28"/>
          <w:lang w:val="en-US" w:eastAsia="zh-CN"/>
        </w:rPr>
        <w:t>10.</w:t>
      </w:r>
      <w:r>
        <w:rPr>
          <w:rFonts w:hint="eastAsia" w:ascii="黑体" w:hAnsi="黑体" w:eastAsia="黑体" w:cs="黑体"/>
          <w:b/>
          <w:bCs/>
          <w:sz w:val="28"/>
          <w:szCs w:val="28"/>
          <w:lang w:val="en-US" w:eastAsia="zh-CN"/>
        </w:rPr>
        <w:t>标准内容7.2</w:t>
      </w:r>
      <w:r>
        <w:rPr>
          <w:rFonts w:hint="eastAsia" w:ascii="黑体" w:hAnsi="黑体" w:eastAsia="黑体" w:cs="黑体"/>
          <w:b/>
          <w:bCs/>
          <w:sz w:val="28"/>
          <w:szCs w:val="28"/>
        </w:rPr>
        <w:t>纠偏</w:t>
      </w:r>
      <w:r>
        <w:rPr>
          <w:rFonts w:hint="eastAsia" w:hAnsi="黑体" w:cs="黑体"/>
          <w:b/>
          <w:bCs/>
          <w:sz w:val="28"/>
          <w:szCs w:val="28"/>
          <w:lang w:val="en-US" w:eastAsia="zh-CN"/>
        </w:rPr>
        <w:t>-7.3核实</w:t>
      </w:r>
    </w:p>
    <w:p>
      <w:pPr>
        <w:pageBreakBefore w:val="0"/>
        <w:widowControl w:val="0"/>
        <w:kinsoku/>
        <w:wordWrap/>
        <w:overflowPunct/>
        <w:topLinePunct w:val="0"/>
        <w:autoSpaceDE/>
        <w:bidi w:val="0"/>
        <w:spacing w:line="360" w:lineRule="auto"/>
        <w:ind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lang w:val="en-US" w:eastAsia="zh-CN"/>
        </w:rPr>
        <w:t>7.2</w:t>
      </w:r>
      <w:r>
        <w:rPr>
          <w:rFonts w:hint="eastAsia" w:ascii="黑体" w:hAnsi="黑体" w:eastAsia="黑体" w:cs="黑体"/>
          <w:sz w:val="28"/>
          <w:szCs w:val="28"/>
        </w:rPr>
        <w:t>纠偏</w:t>
      </w:r>
    </w:p>
    <w:p>
      <w:pPr>
        <w:pageBreakBefore w:val="0"/>
        <w:widowControl w:val="0"/>
        <w:kinsoku/>
        <w:wordWrap/>
        <w:overflowPunct/>
        <w:topLinePunct w:val="0"/>
        <w:autoSpaceDE/>
        <w:bidi w:val="0"/>
        <w:spacing w:line="360" w:lineRule="auto"/>
        <w:ind w:firstLine="560" w:firstLineChars="200"/>
        <w:jc w:val="both"/>
        <w:textAlignment w:val="auto"/>
        <w:rPr>
          <w:rFonts w:hint="eastAsia" w:ascii="黑体" w:hAnsi="黑体" w:eastAsia="黑体" w:cs="黑体"/>
          <w:kern w:val="2"/>
          <w:sz w:val="28"/>
          <w:szCs w:val="28"/>
        </w:rPr>
      </w:pPr>
      <w:r>
        <w:rPr>
          <w:rFonts w:hint="eastAsia" w:ascii="黑体" w:hAnsi="黑体" w:eastAsia="黑体" w:cs="黑体"/>
          <w:kern w:val="2"/>
          <w:sz w:val="28"/>
          <w:szCs w:val="28"/>
        </w:rPr>
        <w:t>当生乳中铅含量超过0.02 mg/kg时，应按第4章</w:t>
      </w:r>
      <w:r>
        <w:rPr>
          <w:rFonts w:hint="default" w:ascii="Times New Roman" w:hAnsi="Times New Roman" w:eastAsia="黑体" w:cs="Times New Roman"/>
          <w:kern w:val="2"/>
          <w:sz w:val="28"/>
          <w:szCs w:val="28"/>
          <w:lang w:val="en-US" w:eastAsia="zh-CN"/>
        </w:rPr>
        <w:t>~</w:t>
      </w:r>
      <w:r>
        <w:rPr>
          <w:rFonts w:hint="eastAsia" w:ascii="黑体" w:hAnsi="黑体" w:eastAsia="黑体" w:cs="黑体"/>
          <w:kern w:val="2"/>
          <w:sz w:val="28"/>
          <w:szCs w:val="28"/>
        </w:rPr>
        <w:t>第6章要求采取纠正措施。</w:t>
      </w:r>
    </w:p>
    <w:p>
      <w:pPr>
        <w:pageBreakBefore w:val="0"/>
        <w:widowControl w:val="0"/>
        <w:kinsoku/>
        <w:wordWrap/>
        <w:overflowPunct/>
        <w:topLinePunct w:val="0"/>
        <w:autoSpaceDE/>
        <w:bidi w:val="0"/>
        <w:spacing w:line="360" w:lineRule="auto"/>
        <w:ind w:firstLine="560" w:firstLineChars="200"/>
        <w:jc w:val="both"/>
        <w:textAlignment w:val="auto"/>
        <w:rPr>
          <w:rFonts w:hint="eastAsia" w:ascii="黑体" w:hAnsi="黑体" w:eastAsia="黑体" w:cs="黑体"/>
          <w:sz w:val="28"/>
          <w:szCs w:val="28"/>
          <w:lang w:val="en-US" w:eastAsia="zh-CN" w:bidi="ar-SA"/>
        </w:rPr>
      </w:pPr>
      <w:r>
        <w:rPr>
          <w:rFonts w:hint="eastAsia" w:ascii="黑体" w:hAnsi="黑体" w:eastAsia="黑体" w:cs="黑体"/>
          <w:sz w:val="28"/>
          <w:szCs w:val="28"/>
          <w:lang w:val="en-US" w:eastAsia="zh-CN" w:bidi="ar-SA"/>
        </w:rPr>
        <w:t>7.3核实</w:t>
      </w:r>
    </w:p>
    <w:p>
      <w:pPr>
        <w:pageBreakBefore w:val="0"/>
        <w:widowControl w:val="0"/>
        <w:kinsoku/>
        <w:wordWrap/>
        <w:overflowPunct/>
        <w:topLinePunct w:val="0"/>
        <w:autoSpaceDE/>
        <w:bidi w:val="0"/>
        <w:spacing w:line="360" w:lineRule="auto"/>
        <w:ind w:firstLine="560" w:firstLineChars="200"/>
        <w:jc w:val="both"/>
        <w:textAlignment w:val="auto"/>
        <w:rPr>
          <w:rFonts w:hint="eastAsia" w:ascii="黑体" w:hAnsi="黑体" w:eastAsia="黑体" w:cs="黑体"/>
          <w:kern w:val="2"/>
          <w:sz w:val="28"/>
          <w:szCs w:val="28"/>
        </w:rPr>
      </w:pPr>
      <w:r>
        <w:rPr>
          <w:rFonts w:hint="eastAsia" w:ascii="黑体" w:hAnsi="黑体" w:eastAsia="黑体" w:cs="黑体"/>
          <w:kern w:val="2"/>
          <w:sz w:val="28"/>
          <w:szCs w:val="28"/>
        </w:rPr>
        <w:t>当生乳中铅含量超过0.02 mg/kg时，重复纠偏措施，直至连续3 d生乳中铅含量不超过0.02 mg/kg为止。</w:t>
      </w:r>
    </w:p>
    <w:p>
      <w:pPr>
        <w:pageBreakBefore w:val="0"/>
        <w:widowControl w:val="0"/>
        <w:kinsoku/>
        <w:wordWrap/>
        <w:overflowPunct/>
        <w:topLinePunct w:val="0"/>
        <w:autoSpaceDE/>
        <w:bidi w:val="0"/>
        <w:spacing w:line="360" w:lineRule="auto"/>
        <w:ind w:firstLine="562" w:firstLineChars="200"/>
        <w:jc w:val="both"/>
        <w:textAlignment w:val="auto"/>
        <w:rPr>
          <w:rFonts w:hint="eastAsia" w:ascii="仿宋" w:hAnsi="仿宋" w:eastAsia="仿宋" w:cs="仿宋"/>
          <w:b/>
          <w:bCs/>
          <w:kern w:val="2"/>
          <w:sz w:val="28"/>
          <w:szCs w:val="28"/>
          <w:lang w:val="en-US" w:eastAsia="zh-CN"/>
        </w:rPr>
      </w:pPr>
      <w:r>
        <w:rPr>
          <w:rFonts w:hint="eastAsia" w:ascii="仿宋" w:hAnsi="仿宋" w:eastAsia="仿宋" w:cs="仿宋"/>
          <w:b/>
          <w:bCs/>
          <w:kern w:val="2"/>
          <w:sz w:val="28"/>
          <w:szCs w:val="28"/>
          <w:lang w:val="en-US" w:eastAsia="zh-CN"/>
        </w:rPr>
        <w:t>理由及依据：</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《食品安全国家标准 食品中污染物限量》GB 2762-2017明确规定了生乳、巴氏杀菌乳、灭菌乳、发酵乳、调制乳中铅的限量值为0.05 mg/kg。</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国际上，查阅各国或相关机构生乳中铅的限量值发现，欧盟、中国台湾、韩国、CAC和印度的限量值为0.02 mg/kg</w:t>
      </w:r>
      <w:r>
        <w:rPr>
          <w:rFonts w:hint="eastAsia" w:eastAsia="仿宋" w:cs="Times New Roman"/>
          <w:kern w:val="2"/>
          <w:sz w:val="28"/>
          <w:szCs w:val="28"/>
          <w:lang w:eastAsia="zh-CN"/>
        </w:rPr>
        <w:t>。</w:t>
      </w:r>
      <w:r>
        <w:rPr>
          <w:rFonts w:hint="default" w:ascii="Times New Roman" w:hAnsi="Times New Roman" w:eastAsia="仿宋" w:cs="Times New Roman"/>
          <w:kern w:val="2"/>
          <w:sz w:val="28"/>
          <w:szCs w:val="28"/>
        </w:rPr>
        <w:t>澳大利亚</w:t>
      </w:r>
      <w:r>
        <w:rPr>
          <w:rFonts w:hint="eastAsia" w:eastAsia="仿宋" w:cs="Times New Roman"/>
          <w:kern w:val="2"/>
          <w:sz w:val="28"/>
          <w:szCs w:val="28"/>
          <w:lang w:eastAsia="zh-CN"/>
        </w:rPr>
        <w:t>、</w:t>
      </w:r>
      <w:r>
        <w:rPr>
          <w:rFonts w:hint="default" w:ascii="Times New Roman" w:hAnsi="Times New Roman" w:eastAsia="仿宋" w:cs="Times New Roman"/>
          <w:kern w:val="2"/>
          <w:sz w:val="28"/>
          <w:szCs w:val="28"/>
        </w:rPr>
        <w:t>新西兰、美国、日本及加拿大均未对生乳中铅的限量值做出规定。</w:t>
      </w:r>
    </w:p>
    <w:p>
      <w:pPr>
        <w:pageBreakBefore w:val="0"/>
        <w:widowControl w:val="0"/>
        <w:kinsoku/>
        <w:wordWrap/>
        <w:overflowPunct/>
        <w:topLinePunct w:val="0"/>
        <w:autoSpaceDE/>
        <w:bidi w:val="0"/>
        <w:spacing w:line="360" w:lineRule="auto"/>
        <w:ind w:firstLine="420" w:firstLineChars="200"/>
        <w:jc w:val="center"/>
        <w:textAlignment w:val="auto"/>
        <w:rPr>
          <w:kern w:val="2"/>
          <w:sz w:val="21"/>
          <w:szCs w:val="21"/>
        </w:rPr>
      </w:pPr>
      <w:r>
        <w:rPr>
          <w:rFonts w:ascii="宋体" w:hAnsi="宋体"/>
          <w:kern w:val="2"/>
          <w:sz w:val="21"/>
          <w:szCs w:val="21"/>
        </w:rPr>
        <w:t>生乳中铅的限量值</w:t>
      </w:r>
    </w:p>
    <w:tbl>
      <w:tblPr>
        <w:tblStyle w:val="10"/>
        <w:tblW w:w="816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24"/>
        <w:gridCol w:w="1390"/>
        <w:gridCol w:w="56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7" w:hRule="atLeast"/>
          <w:jc w:val="center"/>
        </w:trPr>
        <w:tc>
          <w:tcPr>
            <w:tcW w:w="1124" w:type="dxa"/>
            <w:vAlign w:val="center"/>
          </w:tcPr>
          <w:p>
            <w:pPr>
              <w:pageBreakBefore w:val="0"/>
              <w:widowControl w:val="0"/>
              <w:kinsoku/>
              <w:wordWrap/>
              <w:overflowPunct/>
              <w:topLinePunct w:val="0"/>
              <w:autoSpaceDE/>
              <w:bidi w:val="0"/>
              <w:spacing w:line="360" w:lineRule="auto"/>
              <w:jc w:val="center"/>
              <w:textAlignment w:val="auto"/>
              <w:rPr>
                <w:b/>
                <w:bCs w:val="0"/>
                <w:kern w:val="2"/>
                <w:sz w:val="21"/>
                <w:szCs w:val="21"/>
              </w:rPr>
            </w:pPr>
            <w:r>
              <w:rPr>
                <w:b/>
                <w:bCs w:val="0"/>
                <w:kern w:val="2"/>
                <w:sz w:val="21"/>
                <w:szCs w:val="21"/>
              </w:rPr>
              <w:t>地区</w:t>
            </w:r>
          </w:p>
        </w:tc>
        <w:tc>
          <w:tcPr>
            <w:tcW w:w="1390" w:type="dxa"/>
            <w:vAlign w:val="center"/>
          </w:tcPr>
          <w:p>
            <w:pPr>
              <w:pageBreakBefore w:val="0"/>
              <w:widowControl w:val="0"/>
              <w:kinsoku/>
              <w:wordWrap/>
              <w:overflowPunct/>
              <w:topLinePunct w:val="0"/>
              <w:autoSpaceDE/>
              <w:bidi w:val="0"/>
              <w:spacing w:line="360" w:lineRule="auto"/>
              <w:jc w:val="center"/>
              <w:textAlignment w:val="auto"/>
              <w:rPr>
                <w:b/>
                <w:bCs w:val="0"/>
                <w:kern w:val="2"/>
                <w:sz w:val="21"/>
                <w:szCs w:val="21"/>
              </w:rPr>
            </w:pPr>
            <w:r>
              <w:rPr>
                <w:b/>
                <w:bCs w:val="0"/>
                <w:kern w:val="2"/>
                <w:sz w:val="21"/>
                <w:szCs w:val="21"/>
              </w:rPr>
              <w:t>限量值</w:t>
            </w:r>
          </w:p>
          <w:p>
            <w:pPr>
              <w:pageBreakBefore w:val="0"/>
              <w:widowControl w:val="0"/>
              <w:kinsoku/>
              <w:wordWrap/>
              <w:overflowPunct/>
              <w:topLinePunct w:val="0"/>
              <w:autoSpaceDE/>
              <w:bidi w:val="0"/>
              <w:spacing w:line="360" w:lineRule="auto"/>
              <w:jc w:val="center"/>
              <w:textAlignment w:val="auto"/>
              <w:rPr>
                <w:rFonts w:hint="eastAsia" w:eastAsia="宋体"/>
                <w:b/>
                <w:bCs w:val="0"/>
                <w:kern w:val="2"/>
                <w:sz w:val="21"/>
                <w:szCs w:val="21"/>
                <w:lang w:val="en-US" w:eastAsia="zh-CN"/>
              </w:rPr>
            </w:pPr>
            <w:r>
              <w:rPr>
                <w:rFonts w:hint="eastAsia"/>
                <w:b/>
                <w:bCs w:val="0"/>
                <w:kern w:val="2"/>
                <w:sz w:val="21"/>
                <w:szCs w:val="21"/>
                <w:lang w:val="en-US" w:eastAsia="zh-CN"/>
              </w:rPr>
              <w:t>(</w:t>
            </w:r>
            <w:r>
              <w:rPr>
                <w:b/>
                <w:bCs w:val="0"/>
                <w:kern w:val="2"/>
                <w:sz w:val="21"/>
                <w:szCs w:val="21"/>
              </w:rPr>
              <w:t>mg/kg</w:t>
            </w:r>
            <w:r>
              <w:rPr>
                <w:rFonts w:hint="eastAsia"/>
                <w:b/>
                <w:bCs w:val="0"/>
                <w:kern w:val="2"/>
                <w:sz w:val="21"/>
                <w:szCs w:val="21"/>
                <w:lang w:val="en-US" w:eastAsia="zh-CN"/>
              </w:rPr>
              <w:t>)</w:t>
            </w:r>
          </w:p>
        </w:tc>
        <w:tc>
          <w:tcPr>
            <w:tcW w:w="5655" w:type="dxa"/>
            <w:vAlign w:val="center"/>
          </w:tcPr>
          <w:p>
            <w:pPr>
              <w:pageBreakBefore w:val="0"/>
              <w:widowControl w:val="0"/>
              <w:kinsoku/>
              <w:wordWrap/>
              <w:overflowPunct/>
              <w:topLinePunct w:val="0"/>
              <w:autoSpaceDE/>
              <w:bidi w:val="0"/>
              <w:spacing w:line="360" w:lineRule="auto"/>
              <w:jc w:val="center"/>
              <w:textAlignment w:val="auto"/>
              <w:rPr>
                <w:b/>
                <w:bCs w:val="0"/>
                <w:kern w:val="2"/>
                <w:sz w:val="21"/>
                <w:szCs w:val="21"/>
              </w:rPr>
            </w:pPr>
            <w:r>
              <w:rPr>
                <w:b/>
                <w:bCs w:val="0"/>
                <w:kern w:val="2"/>
                <w:sz w:val="21"/>
                <w:szCs w:val="21"/>
              </w:rPr>
              <w:t>参考文献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9" w:hRule="atLeast"/>
          <w:jc w:val="center"/>
        </w:trPr>
        <w:tc>
          <w:tcPr>
            <w:tcW w:w="1124"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中国</w:t>
            </w:r>
          </w:p>
        </w:tc>
        <w:tc>
          <w:tcPr>
            <w:tcW w:w="139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0.05</w:t>
            </w:r>
          </w:p>
        </w:tc>
        <w:tc>
          <w:tcPr>
            <w:tcW w:w="5655" w:type="dxa"/>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GB 2762-2017 食品中污染物限量值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44" w:hRule="atLeast"/>
          <w:jc w:val="center"/>
        </w:trPr>
        <w:tc>
          <w:tcPr>
            <w:tcW w:w="1124"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欧盟</w:t>
            </w:r>
          </w:p>
        </w:tc>
        <w:tc>
          <w:tcPr>
            <w:tcW w:w="139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0.02</w:t>
            </w:r>
          </w:p>
        </w:tc>
        <w:tc>
          <w:tcPr>
            <w:tcW w:w="5655" w:type="dxa"/>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Commission regulation（EC）No 1881/2006（revised 26 times, the newest is commission regulation 2016/239 of 19 February 2016）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24"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中国台湾</w:t>
            </w:r>
          </w:p>
        </w:tc>
        <w:tc>
          <w:tcPr>
            <w:tcW w:w="139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0.02</w:t>
            </w:r>
          </w:p>
        </w:tc>
        <w:tc>
          <w:tcPr>
            <w:tcW w:w="5655" w:type="dxa"/>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食品中污染物物质和毒素卫生标准1070508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24"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韩国</w:t>
            </w:r>
          </w:p>
        </w:tc>
        <w:tc>
          <w:tcPr>
            <w:tcW w:w="139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0.02</w:t>
            </w:r>
          </w:p>
        </w:tc>
        <w:tc>
          <w:tcPr>
            <w:tcW w:w="5655" w:type="dxa"/>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食品法典 第二章 第3条 食用通用标准和规范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24"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CAC</w:t>
            </w:r>
          </w:p>
        </w:tc>
        <w:tc>
          <w:tcPr>
            <w:tcW w:w="139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0.02</w:t>
            </w:r>
          </w:p>
        </w:tc>
        <w:tc>
          <w:tcPr>
            <w:tcW w:w="5655" w:type="dxa"/>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Codex Standard 193-1995 General standard for contaminants and toxins in food and feed (Adopted in 1995. Revised in 1997, 2006, 2008, 2009. Amended in 2010, 2012, 2013, 2014, 2015, 2016, 2017)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24"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印度</w:t>
            </w:r>
          </w:p>
        </w:tc>
        <w:tc>
          <w:tcPr>
            <w:tcW w:w="139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0.02</w:t>
            </w:r>
          </w:p>
        </w:tc>
        <w:tc>
          <w:tcPr>
            <w:tcW w:w="5655" w:type="dxa"/>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Compendium of food safety and standards (laboratory and sampling analysis) regulation (version-II (18.08.2017))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1124"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澳新</w:t>
            </w:r>
          </w:p>
        </w:tc>
        <w:tc>
          <w:tcPr>
            <w:tcW w:w="139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w:t>
            </w:r>
          </w:p>
        </w:tc>
        <w:tc>
          <w:tcPr>
            <w:tcW w:w="5655" w:type="dxa"/>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24"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美国</w:t>
            </w:r>
          </w:p>
        </w:tc>
        <w:tc>
          <w:tcPr>
            <w:tcW w:w="139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w:t>
            </w:r>
          </w:p>
        </w:tc>
        <w:tc>
          <w:tcPr>
            <w:tcW w:w="5655" w:type="dxa"/>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24"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日本</w:t>
            </w:r>
          </w:p>
        </w:tc>
        <w:tc>
          <w:tcPr>
            <w:tcW w:w="139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w:t>
            </w:r>
          </w:p>
        </w:tc>
        <w:tc>
          <w:tcPr>
            <w:tcW w:w="5655" w:type="dxa"/>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24"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加拿大</w:t>
            </w:r>
          </w:p>
        </w:tc>
        <w:tc>
          <w:tcPr>
            <w:tcW w:w="1390" w:type="dxa"/>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w:t>
            </w:r>
          </w:p>
        </w:tc>
        <w:tc>
          <w:tcPr>
            <w:tcW w:w="5655" w:type="dxa"/>
          </w:tcPr>
          <w:p>
            <w:pPr>
              <w:pageBreakBefore w:val="0"/>
              <w:widowControl w:val="0"/>
              <w:kinsoku/>
              <w:wordWrap/>
              <w:overflowPunct/>
              <w:topLinePunct w:val="0"/>
              <w:autoSpaceDE/>
              <w:bidi w:val="0"/>
              <w:spacing w:line="360" w:lineRule="auto"/>
              <w:jc w:val="both"/>
              <w:textAlignment w:val="auto"/>
              <w:rPr>
                <w:kern w:val="2"/>
                <w:sz w:val="21"/>
                <w:szCs w:val="21"/>
              </w:rPr>
            </w:pPr>
            <w:r>
              <w:rPr>
                <w:kern w:val="2"/>
                <w:sz w:val="21"/>
                <w:szCs w:val="21"/>
              </w:rPr>
              <w:t>-</w:t>
            </w:r>
          </w:p>
        </w:tc>
      </w:tr>
    </w:tbl>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sz w:val="28"/>
          <w:szCs w:val="28"/>
          <w:lang w:eastAsia="zh-CN"/>
        </w:rPr>
        <w:t>标准起草</w:t>
      </w:r>
      <w:r>
        <w:rPr>
          <w:rFonts w:hint="default" w:ascii="Times New Roman" w:hAnsi="Times New Roman" w:eastAsia="仿宋" w:cs="Times New Roman"/>
          <w:kern w:val="2"/>
          <w:sz w:val="28"/>
          <w:szCs w:val="28"/>
        </w:rPr>
        <w:t>组对内蒙古、山西、四川、河北、山东、陕西、北京、辽宁、河南、新疆、湖北、安徽、上海、宁夏、吉林等15个地区的20273个生乳中的铅进行检测并统计发现，其中14276个样品中未检出（&lt;0.001 mg/kg），占70.42%</w:t>
      </w:r>
      <w:r>
        <w:rPr>
          <w:rFonts w:hint="default" w:ascii="Times New Roman" w:hAnsi="Times New Roman" w:eastAsia="仿宋" w:cs="Times New Roman"/>
          <w:kern w:val="2"/>
          <w:sz w:val="28"/>
          <w:szCs w:val="28"/>
          <w:lang w:eastAsia="zh-CN"/>
        </w:rPr>
        <w:t>；</w:t>
      </w:r>
      <w:r>
        <w:rPr>
          <w:rFonts w:hint="default" w:ascii="Times New Roman" w:hAnsi="Times New Roman" w:eastAsia="仿宋" w:cs="Times New Roman"/>
          <w:kern w:val="2"/>
          <w:sz w:val="28"/>
          <w:szCs w:val="28"/>
        </w:rPr>
        <w:t>11个样品大于或等于国家限量标准，占0.05%</w:t>
      </w:r>
      <w:r>
        <w:rPr>
          <w:rFonts w:hint="default" w:ascii="Times New Roman" w:hAnsi="Times New Roman" w:eastAsia="仿宋" w:cs="Times New Roman"/>
          <w:kern w:val="2"/>
          <w:sz w:val="28"/>
          <w:szCs w:val="28"/>
          <w:lang w:eastAsia="zh-CN"/>
        </w:rPr>
        <w:t>；</w:t>
      </w:r>
      <w:r>
        <w:rPr>
          <w:rFonts w:hint="default" w:ascii="Times New Roman" w:hAnsi="Times New Roman" w:eastAsia="仿宋" w:cs="Times New Roman"/>
          <w:kern w:val="2"/>
          <w:sz w:val="28"/>
          <w:szCs w:val="28"/>
        </w:rPr>
        <w:t>2729个样品大于或等于欧盟的限量标准（0.02 mg/kg）而小于中国限量标准，占13.46%。在检出生乳样品中铅含量的中位值为0.018 mg/kg，平均值为0.020 mg/kg。</w:t>
      </w:r>
    </w:p>
    <w:p>
      <w:pPr>
        <w:pageBreakBefore w:val="0"/>
        <w:kinsoku/>
        <w:wordWrap/>
        <w:overflowPunct/>
        <w:topLinePunct w:val="0"/>
        <w:autoSpaceDE/>
        <w:bidi w:val="0"/>
        <w:snapToGrid w:val="0"/>
        <w:spacing w:line="360" w:lineRule="auto"/>
        <w:ind w:firstLine="420" w:firstLineChars="200"/>
        <w:jc w:val="center"/>
        <w:textAlignment w:val="auto"/>
        <w:rPr>
          <w:sz w:val="21"/>
          <w:szCs w:val="21"/>
        </w:rPr>
      </w:pPr>
      <w:r>
        <w:rPr>
          <w:rFonts w:ascii="宋体" w:hAnsi="宋体"/>
          <w:sz w:val="21"/>
          <w:szCs w:val="21"/>
        </w:rPr>
        <w:t>全国</w:t>
      </w:r>
      <w:r>
        <w:rPr>
          <w:sz w:val="21"/>
          <w:szCs w:val="21"/>
        </w:rPr>
        <w:t>14</w:t>
      </w:r>
      <w:r>
        <w:rPr>
          <w:rFonts w:ascii="宋体" w:hAnsi="宋体"/>
          <w:sz w:val="21"/>
          <w:szCs w:val="21"/>
        </w:rPr>
        <w:t>个地区</w:t>
      </w:r>
      <w:r>
        <w:rPr>
          <w:sz w:val="21"/>
          <w:szCs w:val="21"/>
        </w:rPr>
        <w:t>20273</w:t>
      </w:r>
      <w:r>
        <w:rPr>
          <w:rFonts w:ascii="宋体" w:hAnsi="宋体"/>
          <w:sz w:val="21"/>
          <w:szCs w:val="21"/>
        </w:rPr>
        <w:t>个生乳中铅值的分布情况</w:t>
      </w:r>
    </w:p>
    <w:tbl>
      <w:tblPr>
        <w:tblStyle w:val="10"/>
        <w:tblW w:w="81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58"/>
        <w:gridCol w:w="2417"/>
        <w:gridCol w:w="26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45" w:hRule="atLeast"/>
          <w:jc w:val="center"/>
        </w:trPr>
        <w:tc>
          <w:tcPr>
            <w:tcW w:w="3058" w:type="dxa"/>
            <w:noWrap/>
            <w:vAlign w:val="center"/>
          </w:tcPr>
          <w:p>
            <w:pPr>
              <w:pageBreakBefore w:val="0"/>
              <w:widowControl w:val="0"/>
              <w:kinsoku/>
              <w:wordWrap/>
              <w:overflowPunct/>
              <w:topLinePunct w:val="0"/>
              <w:autoSpaceDE/>
              <w:bidi w:val="0"/>
              <w:spacing w:line="360" w:lineRule="auto"/>
              <w:jc w:val="center"/>
              <w:textAlignment w:val="auto"/>
              <w:rPr>
                <w:b/>
                <w:bCs w:val="0"/>
                <w:kern w:val="2"/>
                <w:sz w:val="21"/>
                <w:szCs w:val="21"/>
              </w:rPr>
            </w:pPr>
            <w:r>
              <w:rPr>
                <w:b/>
                <w:bCs w:val="0"/>
                <w:kern w:val="2"/>
                <w:sz w:val="21"/>
                <w:szCs w:val="21"/>
              </w:rPr>
              <w:t>范围</w:t>
            </w:r>
          </w:p>
          <w:p>
            <w:pPr>
              <w:pageBreakBefore w:val="0"/>
              <w:widowControl w:val="0"/>
              <w:kinsoku/>
              <w:wordWrap/>
              <w:overflowPunct/>
              <w:topLinePunct w:val="0"/>
              <w:autoSpaceDE/>
              <w:bidi w:val="0"/>
              <w:spacing w:line="360" w:lineRule="auto"/>
              <w:jc w:val="center"/>
              <w:textAlignment w:val="auto"/>
              <w:rPr>
                <w:b/>
                <w:bCs w:val="0"/>
                <w:kern w:val="2"/>
                <w:sz w:val="21"/>
                <w:szCs w:val="21"/>
              </w:rPr>
            </w:pPr>
            <w:r>
              <w:rPr>
                <w:b/>
                <w:bCs w:val="0"/>
                <w:kern w:val="2"/>
                <w:sz w:val="21"/>
                <w:szCs w:val="21"/>
              </w:rPr>
              <w:t>（mg/kg）</w:t>
            </w:r>
          </w:p>
        </w:tc>
        <w:tc>
          <w:tcPr>
            <w:tcW w:w="2417" w:type="dxa"/>
            <w:noWrap/>
            <w:vAlign w:val="center"/>
          </w:tcPr>
          <w:p>
            <w:pPr>
              <w:pageBreakBefore w:val="0"/>
              <w:widowControl w:val="0"/>
              <w:kinsoku/>
              <w:wordWrap/>
              <w:overflowPunct/>
              <w:topLinePunct w:val="0"/>
              <w:autoSpaceDE/>
              <w:bidi w:val="0"/>
              <w:spacing w:line="360" w:lineRule="auto"/>
              <w:jc w:val="center"/>
              <w:textAlignment w:val="auto"/>
              <w:rPr>
                <w:b/>
                <w:bCs w:val="0"/>
                <w:kern w:val="2"/>
                <w:sz w:val="21"/>
                <w:szCs w:val="21"/>
              </w:rPr>
            </w:pPr>
            <w:r>
              <w:rPr>
                <w:b/>
                <w:bCs w:val="0"/>
                <w:kern w:val="2"/>
                <w:sz w:val="21"/>
                <w:szCs w:val="21"/>
              </w:rPr>
              <w:t>样品数</w:t>
            </w:r>
          </w:p>
          <w:p>
            <w:pPr>
              <w:pageBreakBefore w:val="0"/>
              <w:widowControl w:val="0"/>
              <w:kinsoku/>
              <w:wordWrap/>
              <w:overflowPunct/>
              <w:topLinePunct w:val="0"/>
              <w:autoSpaceDE/>
              <w:bidi w:val="0"/>
              <w:spacing w:line="360" w:lineRule="auto"/>
              <w:jc w:val="center"/>
              <w:textAlignment w:val="auto"/>
              <w:rPr>
                <w:b/>
                <w:bCs w:val="0"/>
                <w:kern w:val="2"/>
                <w:sz w:val="21"/>
                <w:szCs w:val="21"/>
              </w:rPr>
            </w:pPr>
            <w:r>
              <w:rPr>
                <w:b/>
                <w:bCs w:val="0"/>
                <w:kern w:val="2"/>
                <w:sz w:val="21"/>
                <w:szCs w:val="21"/>
              </w:rPr>
              <w:t>（个）</w:t>
            </w:r>
          </w:p>
        </w:tc>
        <w:tc>
          <w:tcPr>
            <w:tcW w:w="2678" w:type="dxa"/>
            <w:noWrap/>
            <w:vAlign w:val="center"/>
          </w:tcPr>
          <w:p>
            <w:pPr>
              <w:pageBreakBefore w:val="0"/>
              <w:widowControl w:val="0"/>
              <w:kinsoku/>
              <w:wordWrap/>
              <w:overflowPunct/>
              <w:topLinePunct w:val="0"/>
              <w:autoSpaceDE/>
              <w:bidi w:val="0"/>
              <w:spacing w:line="360" w:lineRule="auto"/>
              <w:jc w:val="center"/>
              <w:textAlignment w:val="auto"/>
              <w:rPr>
                <w:rFonts w:hint="eastAsia"/>
                <w:b/>
                <w:bCs w:val="0"/>
                <w:kern w:val="2"/>
                <w:sz w:val="21"/>
                <w:szCs w:val="21"/>
                <w:lang w:val="en-US" w:eastAsia="zh-CN"/>
              </w:rPr>
            </w:pPr>
            <w:r>
              <w:rPr>
                <w:b/>
                <w:bCs w:val="0"/>
                <w:kern w:val="2"/>
                <w:sz w:val="21"/>
                <w:szCs w:val="21"/>
              </w:rPr>
              <w:t>占比</w:t>
            </w:r>
            <w:r>
              <w:rPr>
                <w:rFonts w:hint="eastAsia"/>
                <w:b/>
                <w:bCs w:val="0"/>
                <w:kern w:val="2"/>
                <w:sz w:val="21"/>
                <w:szCs w:val="21"/>
                <w:lang w:val="en-US" w:eastAsia="zh-CN"/>
              </w:rPr>
              <w:t xml:space="preserve"> </w:t>
            </w:r>
          </w:p>
          <w:p>
            <w:pPr>
              <w:pageBreakBefore w:val="0"/>
              <w:widowControl w:val="0"/>
              <w:kinsoku/>
              <w:wordWrap/>
              <w:overflowPunct/>
              <w:topLinePunct w:val="0"/>
              <w:autoSpaceDE/>
              <w:bidi w:val="0"/>
              <w:spacing w:line="360" w:lineRule="auto"/>
              <w:jc w:val="center"/>
              <w:textAlignment w:val="auto"/>
              <w:rPr>
                <w:b/>
                <w:bCs w:val="0"/>
                <w:kern w:val="2"/>
                <w:sz w:val="21"/>
                <w:szCs w:val="21"/>
              </w:rPr>
            </w:pPr>
            <w:r>
              <w:rPr>
                <w:b/>
                <w:bCs w:val="0"/>
                <w:kern w:val="2"/>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3058"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未检出</w:t>
            </w:r>
          </w:p>
        </w:tc>
        <w:tc>
          <w:tcPr>
            <w:tcW w:w="2417"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14276</w:t>
            </w:r>
          </w:p>
        </w:tc>
        <w:tc>
          <w:tcPr>
            <w:tcW w:w="2678"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70.42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3058"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Pb&lt;0.02</w:t>
            </w:r>
          </w:p>
        </w:tc>
        <w:tc>
          <w:tcPr>
            <w:tcW w:w="2417"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3257</w:t>
            </w:r>
          </w:p>
        </w:tc>
        <w:tc>
          <w:tcPr>
            <w:tcW w:w="2678"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16.07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3058"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0.02≤Pb&lt;0.05</w:t>
            </w:r>
          </w:p>
        </w:tc>
        <w:tc>
          <w:tcPr>
            <w:tcW w:w="2417"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2729</w:t>
            </w:r>
          </w:p>
        </w:tc>
        <w:tc>
          <w:tcPr>
            <w:tcW w:w="2678"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13.46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3058"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0.05≤Pb</w:t>
            </w:r>
          </w:p>
        </w:tc>
        <w:tc>
          <w:tcPr>
            <w:tcW w:w="2417"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11</w:t>
            </w:r>
          </w:p>
        </w:tc>
        <w:tc>
          <w:tcPr>
            <w:tcW w:w="2678"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0.05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3058"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合计</w:t>
            </w:r>
          </w:p>
        </w:tc>
        <w:tc>
          <w:tcPr>
            <w:tcW w:w="2417"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20273</w:t>
            </w:r>
          </w:p>
        </w:tc>
        <w:tc>
          <w:tcPr>
            <w:tcW w:w="2678" w:type="dxa"/>
            <w:noWrap/>
            <w:vAlign w:val="center"/>
          </w:tcPr>
          <w:p>
            <w:pPr>
              <w:pageBreakBefore w:val="0"/>
              <w:widowControl w:val="0"/>
              <w:kinsoku/>
              <w:wordWrap/>
              <w:overflowPunct/>
              <w:topLinePunct w:val="0"/>
              <w:autoSpaceDE/>
              <w:bidi w:val="0"/>
              <w:spacing w:line="360" w:lineRule="auto"/>
              <w:jc w:val="center"/>
              <w:textAlignment w:val="auto"/>
              <w:rPr>
                <w:kern w:val="2"/>
                <w:sz w:val="21"/>
                <w:szCs w:val="21"/>
              </w:rPr>
            </w:pPr>
            <w:r>
              <w:rPr>
                <w:kern w:val="2"/>
                <w:sz w:val="21"/>
                <w:szCs w:val="21"/>
              </w:rPr>
              <w:t>100.00</w:t>
            </w:r>
          </w:p>
        </w:tc>
      </w:tr>
    </w:tbl>
    <w:p>
      <w:pPr>
        <w:pageBreakBefore w:val="0"/>
        <w:kinsoku/>
        <w:wordWrap/>
        <w:overflowPunct/>
        <w:topLinePunct w:val="0"/>
        <w:autoSpaceDE/>
        <w:bidi w:val="0"/>
        <w:snapToGrid w:val="0"/>
        <w:spacing w:line="360" w:lineRule="auto"/>
        <w:ind w:firstLine="420" w:firstLineChars="200"/>
        <w:textAlignment w:val="auto"/>
        <w:rPr>
          <w:sz w:val="21"/>
          <w:szCs w:val="21"/>
        </w:rPr>
      </w:pPr>
      <w:r>
        <w:rPr>
          <w:sz w:val="21"/>
          <w:szCs w:val="21"/>
        </w:rPr>
        <w:t xml:space="preserve"> </w:t>
      </w:r>
    </w:p>
    <w:p>
      <w:pPr>
        <w:pageBreakBefore w:val="0"/>
        <w:widowControl w:val="0"/>
        <w:kinsoku/>
        <w:wordWrap/>
        <w:overflowPunct/>
        <w:topLinePunct w:val="0"/>
        <w:autoSpaceDE/>
        <w:bidi w:val="0"/>
        <w:spacing w:line="360" w:lineRule="auto"/>
        <w:ind w:firstLine="560"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t>综合各国或相关机构生乳中铅的限量值和我国生乳中铅的实际情况，确定本</w:t>
      </w:r>
      <w:r>
        <w:rPr>
          <w:rFonts w:hint="eastAsia" w:eastAsia="仿宋" w:cs="Times New Roman"/>
          <w:kern w:val="2"/>
          <w:sz w:val="28"/>
          <w:szCs w:val="28"/>
          <w:lang w:eastAsia="zh-CN"/>
        </w:rPr>
        <w:t>标准</w:t>
      </w:r>
      <w:r>
        <w:rPr>
          <w:rFonts w:hint="default" w:ascii="Times New Roman" w:hAnsi="Times New Roman" w:eastAsia="仿宋" w:cs="Times New Roman"/>
          <w:kern w:val="2"/>
          <w:sz w:val="28"/>
          <w:szCs w:val="28"/>
        </w:rPr>
        <w:t>生乳中铅的预警值为0.02 mg/kg。当生乳中铅含量达到预警值时，应引起高度重视，查找原因，进行纠偏，去除污染源。</w:t>
      </w:r>
    </w:p>
    <w:p>
      <w:pPr>
        <w:pageBreakBefore w:val="0"/>
        <w:widowControl w:val="0"/>
        <w:kinsoku/>
        <w:wordWrap/>
        <w:overflowPunct/>
        <w:topLinePunct w:val="0"/>
        <w:autoSpaceDE/>
        <w:bidi w:val="0"/>
        <w:spacing w:line="360" w:lineRule="auto"/>
        <w:ind w:firstLine="562" w:firstLineChars="200"/>
        <w:jc w:val="both"/>
        <w:textAlignment w:val="auto"/>
        <w:rPr>
          <w:rFonts w:hint="default" w:ascii="Times New Roman" w:hAnsi="Times New Roman" w:eastAsia="仿宋" w:cs="Times New Roman"/>
          <w:kern w:val="2"/>
          <w:sz w:val="28"/>
          <w:szCs w:val="28"/>
        </w:rPr>
      </w:pPr>
      <w:r>
        <w:rPr>
          <w:rFonts w:hint="default" w:ascii="Times New Roman" w:hAnsi="Times New Roman" w:eastAsia="仿宋" w:cs="Times New Roman"/>
          <w:b/>
          <w:kern w:val="2"/>
          <w:sz w:val="28"/>
          <w:szCs w:val="28"/>
        </w:rPr>
        <w:t>技术规范在奶畜养殖场验证</w:t>
      </w:r>
      <w:r>
        <w:rPr>
          <w:rFonts w:hint="default" w:ascii="Times New Roman" w:hAnsi="Times New Roman" w:eastAsia="仿宋" w:cs="Times New Roman"/>
          <w:b/>
          <w:kern w:val="2"/>
          <w:sz w:val="28"/>
          <w:szCs w:val="28"/>
          <w:lang w:eastAsia="zh-CN"/>
        </w:rPr>
        <w:t>：</w:t>
      </w:r>
      <w:r>
        <w:rPr>
          <w:rFonts w:hint="default" w:ascii="Times New Roman" w:hAnsi="Times New Roman" w:eastAsia="仿宋" w:cs="Times New Roman"/>
          <w:kern w:val="2"/>
          <w:sz w:val="28"/>
          <w:szCs w:val="28"/>
        </w:rPr>
        <w:t>2020年9月~11月，本标准在济南兴兴牧业有限公司进行验证，公司严格按照生乳生产过程中重金属铅的控制技术规范的要求进行操作，经过2个月使用，使公司生乳中重金属铅含量未检出，完全适合公司生产，达到了控制生乳中重金属铅含量的要求。2020年9月</w:t>
      </w:r>
      <w:r>
        <w:rPr>
          <w:rFonts w:hint="default" w:ascii="Times New Roman" w:hAnsi="Times New Roman" w:eastAsia="楷体" w:cs="Times New Roman"/>
          <w:kern w:val="2"/>
          <w:sz w:val="28"/>
          <w:szCs w:val="28"/>
        </w:rPr>
        <w:t>~</w:t>
      </w:r>
      <w:r>
        <w:rPr>
          <w:rFonts w:hint="default" w:ascii="Times New Roman" w:hAnsi="Times New Roman" w:eastAsia="仿宋" w:cs="Times New Roman"/>
          <w:kern w:val="2"/>
          <w:sz w:val="28"/>
          <w:szCs w:val="28"/>
        </w:rPr>
        <w:t>11月，在山东省潍坊市临朐县康泰奶牛养殖场进行验证，公司严格按照生乳生产过程中重金属铅的控制技术规范的要求进行操作，经过2个月的使用，重金属铅含量由0.012 mg/kg降为0.007 mg/kg。</w:t>
      </w:r>
    </w:p>
    <w:p>
      <w:pPr>
        <w:pageBreakBefore w:val="0"/>
        <w:kinsoku/>
        <w:wordWrap/>
        <w:overflowPunct/>
        <w:topLinePunct w:val="0"/>
        <w:autoSpaceDE/>
        <w:bidi w:val="0"/>
        <w:snapToGrid w:val="0"/>
        <w:spacing w:line="360" w:lineRule="auto"/>
        <w:textAlignment w:val="auto"/>
        <w:rPr>
          <w:rFonts w:hint="eastAsia" w:ascii="黑体" w:hAnsi="黑体" w:eastAsia="黑体" w:cs="黑体"/>
          <w:b/>
          <w:sz w:val="32"/>
          <w:szCs w:val="32"/>
        </w:rPr>
      </w:pPr>
      <w:r>
        <w:rPr>
          <w:rFonts w:hint="eastAsia" w:ascii="黑体" w:hAnsi="黑体" w:eastAsia="黑体" w:cs="黑体"/>
          <w:b/>
          <w:sz w:val="32"/>
          <w:szCs w:val="32"/>
        </w:rPr>
        <w:t>四、采用的国际标准</w:t>
      </w:r>
    </w:p>
    <w:p>
      <w:pPr>
        <w:pageBreakBefore w:val="0"/>
        <w:widowControl w:val="0"/>
        <w:kinsoku/>
        <w:wordWrap/>
        <w:overflowPunct/>
        <w:topLinePunct w:val="0"/>
        <w:autoSpaceDE/>
        <w:bidi w:val="0"/>
        <w:spacing w:line="360" w:lineRule="auto"/>
        <w:ind w:firstLine="560" w:firstLineChars="200"/>
        <w:jc w:val="both"/>
        <w:textAlignment w:val="auto"/>
        <w:rPr>
          <w:rFonts w:hint="eastAsia" w:ascii="仿宋" w:hAnsi="仿宋" w:eastAsia="仿宋" w:cs="仿宋"/>
          <w:b/>
          <w:sz w:val="28"/>
          <w:szCs w:val="28"/>
        </w:rPr>
      </w:pPr>
      <w:r>
        <w:rPr>
          <w:rFonts w:hint="eastAsia" w:ascii="仿宋" w:hAnsi="仿宋" w:eastAsia="仿宋" w:cs="仿宋"/>
          <w:sz w:val="28"/>
          <w:szCs w:val="28"/>
        </w:rPr>
        <w:t>本标准在编制过程中</w:t>
      </w:r>
      <w:r>
        <w:rPr>
          <w:rFonts w:hint="eastAsia" w:ascii="仿宋" w:hAnsi="仿宋" w:eastAsia="仿宋" w:cs="仿宋"/>
          <w:sz w:val="28"/>
          <w:szCs w:val="28"/>
          <w:lang w:eastAsia="zh-CN"/>
        </w:rPr>
        <w:t>未采用国际标准</w:t>
      </w:r>
      <w:r>
        <w:rPr>
          <w:rFonts w:hint="eastAsia" w:ascii="仿宋" w:hAnsi="仿宋" w:eastAsia="仿宋" w:cs="仿宋"/>
          <w:kern w:val="2"/>
          <w:sz w:val="28"/>
          <w:szCs w:val="28"/>
          <w:lang w:eastAsia="zh-CN"/>
        </w:rPr>
        <w:t>。</w:t>
      </w:r>
    </w:p>
    <w:p>
      <w:pPr>
        <w:pageBreakBefore w:val="0"/>
        <w:kinsoku/>
        <w:wordWrap/>
        <w:overflowPunct/>
        <w:topLinePunct w:val="0"/>
        <w:autoSpaceDE/>
        <w:bidi w:val="0"/>
        <w:snapToGrid w:val="0"/>
        <w:spacing w:line="360" w:lineRule="auto"/>
        <w:textAlignment w:val="auto"/>
        <w:rPr>
          <w:rFonts w:hint="eastAsia" w:ascii="黑体" w:hAnsi="黑体" w:eastAsia="黑体" w:cs="黑体"/>
          <w:b/>
          <w:sz w:val="32"/>
          <w:szCs w:val="32"/>
        </w:rPr>
      </w:pPr>
      <w:r>
        <w:rPr>
          <w:rFonts w:hint="eastAsia" w:ascii="黑体" w:hAnsi="黑体" w:eastAsia="黑体" w:cs="黑体"/>
          <w:b/>
          <w:sz w:val="32"/>
          <w:szCs w:val="32"/>
        </w:rPr>
        <w:t>五、与现行法律、法规和强制性标准的关系</w:t>
      </w:r>
    </w:p>
    <w:p>
      <w:pPr>
        <w:pageBreakBefore w:val="0"/>
        <w:widowControl w:val="0"/>
        <w:kinsoku/>
        <w:wordWrap/>
        <w:overflowPunct/>
        <w:topLinePunct w:val="0"/>
        <w:autoSpaceDE/>
        <w:bidi w:val="0"/>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在标准的</w:t>
      </w:r>
      <w:r>
        <w:rPr>
          <w:rFonts w:hint="eastAsia" w:ascii="仿宋" w:hAnsi="仿宋" w:eastAsia="仿宋" w:cs="仿宋"/>
          <w:sz w:val="28"/>
          <w:szCs w:val="28"/>
          <w:lang w:val="en-US" w:eastAsia="zh-CN"/>
        </w:rPr>
        <w:t>制定</w:t>
      </w:r>
      <w:r>
        <w:rPr>
          <w:rFonts w:hint="eastAsia" w:ascii="仿宋" w:hAnsi="仿宋" w:eastAsia="仿宋" w:cs="仿宋"/>
          <w:sz w:val="28"/>
          <w:szCs w:val="28"/>
        </w:rPr>
        <w:t>过程中严格贯彻国家有关方针、政策、法律和规章，严格执行强制性国家标准和行业标准。与有关的各种基础标准相衔接，遵循了政策性和协调统一性的原则。</w:t>
      </w:r>
    </w:p>
    <w:p>
      <w:pPr>
        <w:pageBreakBefore w:val="0"/>
        <w:kinsoku/>
        <w:wordWrap/>
        <w:overflowPunct/>
        <w:topLinePunct w:val="0"/>
        <w:autoSpaceDE/>
        <w:bidi w:val="0"/>
        <w:snapToGrid w:val="0"/>
        <w:spacing w:line="360" w:lineRule="auto"/>
        <w:textAlignment w:val="auto"/>
        <w:rPr>
          <w:rFonts w:hint="eastAsia" w:ascii="黑体" w:hAnsi="黑体" w:eastAsia="黑体" w:cs="黑体"/>
          <w:b/>
          <w:sz w:val="32"/>
          <w:szCs w:val="32"/>
        </w:rPr>
      </w:pPr>
      <w:r>
        <w:rPr>
          <w:rFonts w:hint="eastAsia" w:ascii="黑体" w:hAnsi="黑体" w:eastAsia="黑体" w:cs="黑体"/>
          <w:b/>
          <w:sz w:val="32"/>
          <w:szCs w:val="32"/>
        </w:rPr>
        <w:t>六、重大分歧意见的处理经过和依据</w:t>
      </w:r>
    </w:p>
    <w:p>
      <w:pPr>
        <w:pageBreakBefore w:val="0"/>
        <w:kinsoku/>
        <w:wordWrap/>
        <w:overflowPunct/>
        <w:topLinePunct w:val="0"/>
        <w:autoSpaceDE/>
        <w:bidi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本标准在编制过程中</w:t>
      </w:r>
      <w:r>
        <w:rPr>
          <w:rFonts w:hint="eastAsia" w:ascii="仿宋" w:hAnsi="仿宋" w:eastAsia="仿宋" w:cs="仿宋"/>
          <w:sz w:val="28"/>
          <w:szCs w:val="28"/>
          <w:lang w:eastAsia="zh-CN"/>
        </w:rPr>
        <w:t>无</w:t>
      </w:r>
      <w:r>
        <w:rPr>
          <w:rFonts w:hint="eastAsia" w:ascii="仿宋" w:hAnsi="仿宋" w:eastAsia="仿宋" w:cs="仿宋"/>
          <w:sz w:val="28"/>
          <w:szCs w:val="28"/>
        </w:rPr>
        <w:t>重大意见分歧。</w:t>
      </w:r>
    </w:p>
    <w:p>
      <w:pPr>
        <w:pageBreakBefore w:val="0"/>
        <w:kinsoku/>
        <w:wordWrap/>
        <w:overflowPunct/>
        <w:topLinePunct w:val="0"/>
        <w:autoSpaceDE/>
        <w:bidi w:val="0"/>
        <w:snapToGrid w:val="0"/>
        <w:spacing w:line="360" w:lineRule="auto"/>
        <w:textAlignment w:val="auto"/>
        <w:rPr>
          <w:rFonts w:hint="eastAsia" w:ascii="黑体" w:hAnsi="黑体" w:eastAsia="黑体" w:cs="黑体"/>
          <w:b/>
          <w:sz w:val="32"/>
          <w:szCs w:val="32"/>
        </w:rPr>
      </w:pPr>
      <w:r>
        <w:rPr>
          <w:rFonts w:hint="eastAsia" w:ascii="黑体" w:hAnsi="黑体" w:eastAsia="黑体" w:cs="黑体"/>
          <w:b/>
          <w:sz w:val="32"/>
          <w:szCs w:val="32"/>
        </w:rPr>
        <w:t>七、作为强制性标准或推荐性标准的建议</w:t>
      </w:r>
    </w:p>
    <w:p>
      <w:pPr>
        <w:pageBreakBefore w:val="0"/>
        <w:kinsoku/>
        <w:wordWrap/>
        <w:overflowPunct/>
        <w:topLinePunct w:val="0"/>
        <w:autoSpaceDE/>
        <w:bidi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w:t>
      </w:r>
      <w:r>
        <w:rPr>
          <w:rFonts w:hint="eastAsia" w:ascii="仿宋" w:hAnsi="仿宋" w:eastAsia="仿宋" w:cs="仿宋"/>
          <w:sz w:val="28"/>
          <w:szCs w:val="28"/>
          <w:lang w:eastAsia="zh-CN"/>
        </w:rPr>
        <w:t>标准</w:t>
      </w:r>
      <w:r>
        <w:rPr>
          <w:rFonts w:hint="eastAsia" w:ascii="仿宋" w:hAnsi="仿宋" w:eastAsia="仿宋" w:cs="仿宋"/>
          <w:sz w:val="28"/>
          <w:szCs w:val="28"/>
        </w:rPr>
        <w:t>为技术规范类标准，并不涉及保障人身健康和生命财产安全、国家安全、生态环境安全以及满足经济社会管理基本需要的技术要求，因此，建议将其作为推荐性行业标准颁布实施。</w:t>
      </w:r>
    </w:p>
    <w:p>
      <w:pPr>
        <w:pageBreakBefore w:val="0"/>
        <w:kinsoku/>
        <w:wordWrap/>
        <w:overflowPunct/>
        <w:topLinePunct w:val="0"/>
        <w:autoSpaceDE/>
        <w:bidi w:val="0"/>
        <w:snapToGrid w:val="0"/>
        <w:spacing w:line="360" w:lineRule="auto"/>
        <w:textAlignment w:val="auto"/>
        <w:rPr>
          <w:rFonts w:hint="eastAsia" w:ascii="黑体" w:hAnsi="黑体" w:eastAsia="黑体" w:cs="黑体"/>
          <w:b/>
          <w:sz w:val="32"/>
          <w:szCs w:val="32"/>
        </w:rPr>
      </w:pPr>
      <w:r>
        <w:rPr>
          <w:rFonts w:hint="eastAsia" w:ascii="黑体" w:hAnsi="黑体" w:eastAsia="黑体" w:cs="黑体"/>
          <w:b/>
          <w:sz w:val="32"/>
          <w:szCs w:val="32"/>
        </w:rPr>
        <w:t>八、贯彻标准的要求和措施建议</w:t>
      </w:r>
    </w:p>
    <w:p>
      <w:pPr>
        <w:keepNext w:val="0"/>
        <w:keepLines w:val="0"/>
        <w:pageBreakBefore w:val="0"/>
        <w:widowControl/>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制定本标准是为了保障生牛乳质量安全，指导生牛乳安全生产，建议农业行政主管部门采用本标准对生牛乳生产进行指导。</w:t>
      </w:r>
    </w:p>
    <w:p>
      <w:pPr>
        <w:pageBreakBefore w:val="0"/>
        <w:kinsoku/>
        <w:wordWrap/>
        <w:overflowPunct/>
        <w:topLinePunct w:val="0"/>
        <w:autoSpaceDE/>
        <w:bidi w:val="0"/>
        <w:snapToGrid w:val="0"/>
        <w:spacing w:line="360" w:lineRule="auto"/>
        <w:textAlignment w:val="auto"/>
        <w:rPr>
          <w:rFonts w:hint="eastAsia" w:ascii="黑体" w:hAnsi="黑体" w:eastAsia="黑体" w:cs="黑体"/>
          <w:b/>
          <w:sz w:val="32"/>
          <w:szCs w:val="32"/>
        </w:rPr>
      </w:pPr>
      <w:r>
        <w:rPr>
          <w:rFonts w:hint="eastAsia" w:ascii="黑体" w:hAnsi="黑体" w:eastAsia="黑体" w:cs="黑体"/>
          <w:b/>
          <w:sz w:val="32"/>
          <w:szCs w:val="32"/>
        </w:rPr>
        <w:t>九、废止现行有关标准的建议</w:t>
      </w:r>
    </w:p>
    <w:p>
      <w:pPr>
        <w:pageBreakBefore w:val="0"/>
        <w:kinsoku/>
        <w:wordWrap/>
        <w:overflowPunct/>
        <w:topLinePunct w:val="0"/>
        <w:autoSpaceDE/>
        <w:bidi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本标准在编制过程中</w:t>
      </w:r>
      <w:r>
        <w:rPr>
          <w:rFonts w:hint="eastAsia" w:ascii="仿宋" w:hAnsi="仿宋" w:eastAsia="仿宋" w:cs="仿宋"/>
          <w:sz w:val="28"/>
          <w:szCs w:val="28"/>
          <w:lang w:eastAsia="zh-CN"/>
        </w:rPr>
        <w:t>无废止现行有关标准建议</w:t>
      </w:r>
      <w:r>
        <w:rPr>
          <w:rFonts w:hint="eastAsia" w:ascii="仿宋" w:hAnsi="仿宋" w:eastAsia="仿宋" w:cs="仿宋"/>
          <w:sz w:val="28"/>
          <w:szCs w:val="28"/>
        </w:rPr>
        <w:t>。</w:t>
      </w:r>
    </w:p>
    <w:p>
      <w:pPr>
        <w:pageBreakBefore w:val="0"/>
        <w:kinsoku/>
        <w:wordWrap/>
        <w:overflowPunct/>
        <w:topLinePunct w:val="0"/>
        <w:autoSpaceDE/>
        <w:bidi w:val="0"/>
        <w:snapToGrid w:val="0"/>
        <w:spacing w:line="360" w:lineRule="auto"/>
        <w:textAlignment w:val="auto"/>
        <w:rPr>
          <w:rFonts w:hint="eastAsia" w:ascii="黑体" w:hAnsi="黑体" w:eastAsia="黑体" w:cs="黑体"/>
          <w:b/>
          <w:sz w:val="32"/>
          <w:szCs w:val="32"/>
        </w:rPr>
      </w:pPr>
      <w:r>
        <w:rPr>
          <w:rFonts w:hint="eastAsia" w:ascii="黑体" w:hAnsi="黑体" w:eastAsia="黑体" w:cs="黑体"/>
          <w:b/>
          <w:sz w:val="32"/>
          <w:szCs w:val="32"/>
        </w:rPr>
        <w:t>十、其他应予说明的事项</w:t>
      </w:r>
    </w:p>
    <w:p>
      <w:pPr>
        <w:pageBreakBefore w:val="0"/>
        <w:kinsoku/>
        <w:wordWrap/>
        <w:overflowPunct/>
        <w:topLinePunct w:val="0"/>
        <w:autoSpaceDE/>
        <w:bidi w:val="0"/>
        <w:snapToGrid w:val="0"/>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本标准在编制过程中，得到很多专家的指导和帮助，特此表示感谢！</w:t>
      </w:r>
    </w:p>
    <w:p>
      <w:pPr>
        <w:pageBreakBefore w:val="0"/>
        <w:kinsoku/>
        <w:wordWrap/>
        <w:overflowPunct/>
        <w:topLinePunct w:val="0"/>
        <w:autoSpaceDE/>
        <w:bidi w:val="0"/>
        <w:snapToGrid w:val="0"/>
        <w:spacing w:line="360" w:lineRule="auto"/>
        <w:ind w:right="840"/>
        <w:jc w:val="both"/>
        <w:textAlignment w:val="auto"/>
        <w:rPr>
          <w:sz w:val="21"/>
          <w:szCs w:val="21"/>
        </w:rPr>
      </w:pPr>
    </w:p>
    <w:p>
      <w:pPr>
        <w:pageBreakBefore w:val="0"/>
        <w:kinsoku/>
        <w:wordWrap/>
        <w:overflowPunct/>
        <w:topLinePunct w:val="0"/>
        <w:autoSpaceDE/>
        <w:bidi w:val="0"/>
        <w:spacing w:line="360" w:lineRule="auto"/>
        <w:ind w:firstLine="420"/>
        <w:textAlignment w:val="auto"/>
        <w:rPr>
          <w:sz w:val="21"/>
          <w:szCs w:val="21"/>
        </w:rPr>
        <w:sectPr>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sz w:val="21"/>
          <w:szCs w:val="21"/>
        </w:rPr>
        <w:t xml:space="preserve"> </w:t>
      </w:r>
    </w:p>
    <w:p>
      <w:pPr>
        <w:pageBreakBefore w:val="0"/>
        <w:kinsoku/>
        <w:wordWrap/>
        <w:overflowPunct/>
        <w:topLinePunct w:val="0"/>
        <w:autoSpaceDE/>
        <w:bidi w:val="0"/>
        <w:snapToGrid w:val="0"/>
        <w:spacing w:line="360" w:lineRule="auto"/>
        <w:jc w:val="center"/>
        <w:textAlignment w:val="auto"/>
        <w:rPr>
          <w:rFonts w:ascii="Times New Roman" w:hAnsi="Times New Roman" w:eastAsia="黑体"/>
          <w:bCs/>
          <w:color w:val="000000"/>
          <w:sz w:val="36"/>
          <w:szCs w:val="36"/>
        </w:rPr>
      </w:pPr>
      <w:r>
        <w:rPr>
          <w:rFonts w:ascii="Times New Roman" w:hAnsi="Times New Roman" w:eastAsia="黑体"/>
          <w:bCs/>
          <w:color w:val="000000"/>
          <w:sz w:val="36"/>
          <w:szCs w:val="36"/>
        </w:rPr>
        <w:t>预审会议审查意见汇总处理表</w:t>
      </w:r>
    </w:p>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30"/>
          <w:szCs w:val="28"/>
          <w:u w:val="single"/>
        </w:rPr>
      </w:pPr>
      <w:r>
        <w:rPr>
          <w:rFonts w:ascii="Times New Roman" w:hAnsi="Times New Roman" w:eastAsia="仿宋_GB2312"/>
          <w:color w:val="000000"/>
          <w:sz w:val="30"/>
          <w:szCs w:val="28"/>
        </w:rPr>
        <w:t>标准名称：</w:t>
      </w:r>
      <w:r>
        <w:rPr>
          <w:rFonts w:ascii="Times New Roman" w:hAnsi="Times New Roman" w:eastAsia="仿宋_GB2312"/>
          <w:color w:val="000000"/>
          <w:sz w:val="30"/>
          <w:szCs w:val="28"/>
          <w:u w:val="single"/>
        </w:rPr>
        <w:t xml:space="preserve">  </w:t>
      </w:r>
      <w:r>
        <w:rPr>
          <w:rFonts w:hint="eastAsia" w:ascii="Times New Roman" w:hAnsi="Times New Roman" w:eastAsia="仿宋_GB2312"/>
          <w:color w:val="000000"/>
          <w:sz w:val="30"/>
          <w:szCs w:val="28"/>
          <w:u w:val="single"/>
        </w:rPr>
        <w:t>生乳中铅的控制技术规范</w:t>
      </w:r>
      <w:r>
        <w:rPr>
          <w:rFonts w:ascii="Times New Roman" w:hAnsi="Times New Roman" w:eastAsia="仿宋_GB2312"/>
          <w:color w:val="000000"/>
          <w:sz w:val="30"/>
          <w:szCs w:val="28"/>
          <w:u w:val="single"/>
        </w:rPr>
        <w:t xml:space="preserve">    </w:t>
      </w:r>
      <w:r>
        <w:rPr>
          <w:rFonts w:ascii="Times New Roman" w:hAnsi="Times New Roman" w:eastAsia="仿宋_GB2312"/>
          <w:color w:val="000000"/>
          <w:sz w:val="30"/>
          <w:szCs w:val="28"/>
        </w:rPr>
        <w:t xml:space="preserve">                                            共 </w:t>
      </w:r>
      <w:r>
        <w:rPr>
          <w:rFonts w:ascii="Times New Roman" w:hAnsi="Times New Roman" w:eastAsia="仿宋_GB2312"/>
          <w:color w:val="000000"/>
          <w:sz w:val="30"/>
          <w:szCs w:val="28"/>
          <w:u w:val="single"/>
        </w:rPr>
        <w:t xml:space="preserve"> </w:t>
      </w:r>
      <w:r>
        <w:rPr>
          <w:rFonts w:hint="eastAsia" w:eastAsia="仿宋_GB2312"/>
          <w:color w:val="000000"/>
          <w:sz w:val="30"/>
          <w:szCs w:val="28"/>
          <w:u w:val="single"/>
          <w:lang w:val="en-US" w:eastAsia="zh-CN"/>
        </w:rPr>
        <w:t>3</w:t>
      </w:r>
      <w:r>
        <w:rPr>
          <w:rFonts w:ascii="Times New Roman" w:hAnsi="Times New Roman" w:eastAsia="仿宋_GB2312"/>
          <w:color w:val="000000"/>
          <w:sz w:val="30"/>
          <w:szCs w:val="28"/>
          <w:u w:val="single"/>
        </w:rPr>
        <w:t xml:space="preserve">  </w:t>
      </w:r>
      <w:r>
        <w:rPr>
          <w:rFonts w:ascii="Times New Roman" w:hAnsi="Times New Roman" w:eastAsia="仿宋_GB2312"/>
          <w:color w:val="000000"/>
          <w:sz w:val="30"/>
          <w:szCs w:val="28"/>
        </w:rPr>
        <w:t xml:space="preserve"> 页</w:t>
      </w:r>
    </w:p>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30"/>
          <w:szCs w:val="28"/>
          <w:u w:val="single"/>
        </w:rPr>
      </w:pPr>
      <w:r>
        <w:rPr>
          <w:rFonts w:ascii="Times New Roman" w:hAnsi="Times New Roman" w:eastAsia="仿宋_GB2312"/>
          <w:color w:val="000000"/>
          <w:sz w:val="30"/>
          <w:szCs w:val="28"/>
        </w:rPr>
        <w:t>标准项目承担单位：</w:t>
      </w:r>
      <w:r>
        <w:rPr>
          <w:rFonts w:hint="eastAsia" w:ascii="Times New Roman" w:hAnsi="Times New Roman" w:eastAsia="仿宋_GB2312"/>
          <w:color w:val="000000"/>
          <w:sz w:val="30"/>
          <w:szCs w:val="28"/>
          <w:u w:val="single"/>
        </w:rPr>
        <w:t>中国农业科学院北京畜牧兽医研究所、农业农村部奶产品质量安全风险评估实验室（北京）、农业农村部奶及奶制品质量监督检验测试中心（北京）、山东省农业科学院农业质量标准与检测技术研究所</w:t>
      </w:r>
      <w:r>
        <w:rPr>
          <w:rFonts w:ascii="Times New Roman" w:hAnsi="Times New Roman" w:eastAsia="仿宋_GB2312"/>
          <w:color w:val="000000"/>
          <w:sz w:val="30"/>
          <w:szCs w:val="28"/>
          <w:u w:val="single"/>
        </w:rPr>
        <w:t xml:space="preserve"> </w:t>
      </w:r>
    </w:p>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30"/>
          <w:szCs w:val="28"/>
        </w:rPr>
      </w:pPr>
      <w:r>
        <w:rPr>
          <w:rFonts w:ascii="Times New Roman" w:hAnsi="Times New Roman" w:eastAsia="仿宋_GB2312"/>
          <w:color w:val="000000"/>
          <w:sz w:val="30"/>
          <w:szCs w:val="28"/>
        </w:rPr>
        <w:t xml:space="preserve">                                                                          </w:t>
      </w:r>
      <w:r>
        <w:rPr>
          <w:rFonts w:ascii="Times New Roman" w:hAnsi="Times New Roman" w:eastAsia="仿宋_GB2312"/>
          <w:color w:val="000000"/>
          <w:sz w:val="30"/>
          <w:szCs w:val="28"/>
          <w:u w:val="single"/>
        </w:rPr>
        <w:t>20</w:t>
      </w:r>
      <w:r>
        <w:rPr>
          <w:rFonts w:ascii="Times New Roman" w:hAnsi="Times New Roman" w:eastAsia="仿宋_GB2312"/>
          <w:color w:val="000000"/>
          <w:sz w:val="30"/>
          <w:szCs w:val="20"/>
          <w:u w:val="single"/>
        </w:rPr>
        <w:t>21</w:t>
      </w:r>
      <w:r>
        <w:rPr>
          <w:rFonts w:ascii="Times New Roman" w:hAnsi="Times New Roman" w:eastAsia="仿宋_GB2312"/>
          <w:color w:val="000000"/>
          <w:sz w:val="30"/>
          <w:szCs w:val="28"/>
        </w:rPr>
        <w:t>年</w:t>
      </w:r>
      <w:r>
        <w:rPr>
          <w:rFonts w:ascii="Times New Roman" w:hAnsi="Times New Roman" w:eastAsia="仿宋_GB2312"/>
          <w:color w:val="000000"/>
          <w:sz w:val="30"/>
          <w:szCs w:val="20"/>
          <w:u w:val="single"/>
        </w:rPr>
        <w:t>8</w:t>
      </w:r>
      <w:r>
        <w:rPr>
          <w:rFonts w:ascii="Times New Roman" w:hAnsi="Times New Roman" w:eastAsia="仿宋_GB2312"/>
          <w:color w:val="000000"/>
          <w:sz w:val="30"/>
          <w:szCs w:val="28"/>
        </w:rPr>
        <w:t>月</w:t>
      </w:r>
      <w:r>
        <w:rPr>
          <w:rFonts w:ascii="Times New Roman" w:hAnsi="Times New Roman" w:eastAsia="仿宋_GB2312"/>
          <w:color w:val="000000"/>
          <w:sz w:val="30"/>
          <w:szCs w:val="20"/>
          <w:u w:val="single"/>
        </w:rPr>
        <w:t>4</w:t>
      </w:r>
      <w:r>
        <w:rPr>
          <w:rFonts w:ascii="Times New Roman" w:hAnsi="Times New Roman" w:eastAsia="仿宋_GB2312"/>
          <w:color w:val="000000"/>
          <w:sz w:val="30"/>
          <w:szCs w:val="28"/>
        </w:rPr>
        <w:t>日填写</w:t>
      </w:r>
    </w:p>
    <w:tbl>
      <w:tblPr>
        <w:tblStyle w:val="10"/>
        <w:tblpPr w:leftFromText="180" w:rightFromText="180" w:vertAnchor="text" w:horzAnchor="page" w:tblpXSpec="center" w:tblpY="368"/>
        <w:tblOverlap w:val="never"/>
        <w:tblW w:w="13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531"/>
        <w:gridCol w:w="6804"/>
        <w:gridCol w:w="1559"/>
        <w:gridCol w:w="155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b/>
                <w:color w:val="000000"/>
                <w:sz w:val="24"/>
                <w:szCs w:val="24"/>
              </w:rPr>
            </w:pPr>
            <w:r>
              <w:rPr>
                <w:rFonts w:ascii="Times New Roman" w:hAnsi="Times New Roman" w:eastAsia="仿宋_GB2312"/>
                <w:b/>
                <w:color w:val="000000"/>
                <w:sz w:val="24"/>
                <w:szCs w:val="24"/>
              </w:rPr>
              <w:t>序号</w:t>
            </w:r>
          </w:p>
        </w:tc>
        <w:tc>
          <w:tcPr>
            <w:tcW w:w="1531"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宋体"/>
                <w:b/>
                <w:color w:val="000000"/>
                <w:sz w:val="24"/>
                <w:szCs w:val="24"/>
              </w:rPr>
            </w:pPr>
            <w:r>
              <w:rPr>
                <w:rFonts w:ascii="Times New Roman" w:hAnsi="Times New Roman" w:eastAsia="仿宋_GB2312"/>
                <w:b/>
                <w:color w:val="000000"/>
                <w:sz w:val="24"/>
                <w:szCs w:val="24"/>
              </w:rPr>
              <w:t>标准章条编号</w:t>
            </w:r>
          </w:p>
        </w:tc>
        <w:tc>
          <w:tcPr>
            <w:tcW w:w="68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b/>
                <w:color w:val="000000"/>
                <w:sz w:val="24"/>
                <w:szCs w:val="24"/>
              </w:rPr>
            </w:pPr>
            <w:r>
              <w:rPr>
                <w:rFonts w:ascii="Times New Roman" w:hAnsi="Times New Roman" w:eastAsia="仿宋_GB2312"/>
                <w:b/>
                <w:color w:val="000000"/>
                <w:sz w:val="24"/>
                <w:szCs w:val="24"/>
              </w:rPr>
              <w:t>意见内容</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b/>
                <w:color w:val="000000"/>
                <w:sz w:val="24"/>
                <w:szCs w:val="24"/>
              </w:rPr>
            </w:pPr>
            <w:r>
              <w:rPr>
                <w:rFonts w:ascii="Times New Roman" w:hAnsi="Times New Roman" w:eastAsia="仿宋_GB2312"/>
                <w:b/>
                <w:color w:val="000000"/>
                <w:sz w:val="24"/>
                <w:szCs w:val="24"/>
              </w:rPr>
              <w:t>提出单位</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b/>
                <w:color w:val="000000"/>
                <w:sz w:val="24"/>
                <w:szCs w:val="24"/>
              </w:rPr>
            </w:pPr>
            <w:r>
              <w:rPr>
                <w:rFonts w:ascii="Times New Roman" w:hAnsi="Times New Roman" w:eastAsia="仿宋_GB2312"/>
                <w:b/>
                <w:color w:val="000000"/>
                <w:sz w:val="24"/>
                <w:szCs w:val="24"/>
              </w:rPr>
              <w:t>处理意见</w:t>
            </w:r>
          </w:p>
        </w:tc>
        <w:tc>
          <w:tcPr>
            <w:tcW w:w="1418"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b/>
                <w:color w:val="000000"/>
                <w:sz w:val="24"/>
                <w:szCs w:val="24"/>
              </w:rPr>
            </w:pPr>
            <w:r>
              <w:rPr>
                <w:rFonts w:ascii="Times New Roman" w:hAnsi="Times New Roman" w:eastAsia="仿宋_GB2312"/>
                <w:b/>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1</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第一段修改为“本文件规定了生乳生产和贮运过程中对铅含量的控制要求，以及生乳中铅含量的测定、纠偏、核实和记录要求。”</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2</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themeColor="text1"/>
                <w:kern w:val="2"/>
                <w:sz w:val="24"/>
                <w:szCs w:val="24"/>
                <w14:textFill>
                  <w14:solidFill>
                    <w14:schemeClr w14:val="tx1"/>
                  </w14:solidFill>
                </w14:textFill>
              </w:rPr>
            </w:pPr>
            <w:r>
              <w:rPr>
                <w:rFonts w:hint="eastAsia" w:ascii="Times New Roman" w:eastAsia="仿宋_GB2312"/>
                <w:color w:val="000000" w:themeColor="text1"/>
                <w:kern w:val="2"/>
                <w:sz w:val="24"/>
                <w:szCs w:val="24"/>
                <w14:textFill>
                  <w14:solidFill>
                    <w14:schemeClr w14:val="tx1"/>
                  </w14:solidFill>
                </w14:textFill>
              </w:rPr>
              <w:t>1</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第二段修改为“本文件适用于生乳生产和贮运过程中铅的控制。”</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3</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themeColor="text1"/>
                <w:kern w:val="2"/>
                <w:sz w:val="24"/>
                <w:szCs w:val="24"/>
                <w14:textFill>
                  <w14:solidFill>
                    <w14:schemeClr w14:val="tx1"/>
                  </w14:solidFill>
                </w14:textFill>
              </w:rPr>
            </w:pPr>
            <w:r>
              <w:rPr>
                <w:rFonts w:hint="eastAsia" w:ascii="Times New Roman" w:eastAsia="仿宋_GB2312"/>
                <w:color w:val="000000" w:themeColor="text1"/>
                <w:kern w:val="2"/>
                <w:sz w:val="24"/>
                <w:szCs w:val="24"/>
                <w14:textFill>
                  <w14:solidFill>
                    <w14:schemeClr w14:val="tx1"/>
                  </w14:solidFill>
                </w14:textFill>
              </w:rPr>
              <w:t>2</w:t>
            </w:r>
            <w:bookmarkStart w:id="2" w:name="_GoBack"/>
            <w:bookmarkEnd w:id="2"/>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删除“</w:t>
            </w:r>
            <w:r>
              <w:rPr>
                <w:sz w:val="24"/>
                <w:szCs w:val="24"/>
              </w:rPr>
              <w:t xml:space="preserve"> </w:t>
            </w:r>
            <w:r>
              <w:rPr>
                <w:rFonts w:ascii="Times New Roman" w:hAnsi="Times New Roman" w:eastAsia="仿宋_GB2312"/>
                <w:color w:val="000000" w:themeColor="text1"/>
                <w:sz w:val="24"/>
                <w:szCs w:val="24"/>
                <w14:textFill>
                  <w14:solidFill>
                    <w14:schemeClr w14:val="tx1"/>
                  </w14:solidFill>
                </w14:textFill>
              </w:rPr>
              <w:t>GB 2762 食品安全国家标准 食品中污染物限量”</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4</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themeColor="text1"/>
                <w:kern w:val="2"/>
                <w:sz w:val="24"/>
                <w:szCs w:val="24"/>
                <w14:textFill>
                  <w14:solidFill>
                    <w14:schemeClr w14:val="tx1"/>
                  </w14:solidFill>
                </w14:textFill>
              </w:rPr>
            </w:pPr>
            <w:r>
              <w:rPr>
                <w:rFonts w:hint="eastAsia" w:ascii="Times New Roman" w:eastAsia="仿宋_GB2312"/>
                <w:color w:val="000000" w:themeColor="text1"/>
                <w:kern w:val="2"/>
                <w:sz w:val="24"/>
                <w:szCs w:val="24"/>
                <w14:textFill>
                  <w14:solidFill>
                    <w14:schemeClr w14:val="tx1"/>
                  </w14:solidFill>
                </w14:textFill>
              </w:rPr>
              <w:t>4</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修改为“奶畜养殖环境与投入品”。</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5</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themeColor="text1"/>
                <w:kern w:val="2"/>
                <w:sz w:val="24"/>
                <w:szCs w:val="24"/>
                <w14:textFill>
                  <w14:solidFill>
                    <w14:schemeClr w14:val="tx1"/>
                  </w14:solidFill>
                </w14:textFill>
              </w:rPr>
            </w:pPr>
            <w:r>
              <w:rPr>
                <w:rFonts w:ascii="Times New Roman" w:eastAsia="仿宋_GB2312"/>
                <w:color w:val="000000" w:themeColor="text1"/>
                <w:kern w:val="2"/>
                <w:sz w:val="24"/>
                <w:szCs w:val="24"/>
                <w14:textFill>
                  <w14:solidFill>
                    <w14:schemeClr w14:val="tx1"/>
                  </w14:solidFill>
                </w14:textFill>
              </w:rPr>
              <w:t>4.1</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删除“奶畜场应远离公路、车站、机场等交通要道及工业园区。奶畜场缓冲区、场区内应种植树木、花草，减少尘粒产生、净化空气。”。</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6</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4.1</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sz w:val="24"/>
                <w:szCs w:val="24"/>
              </w:rPr>
            </w:pPr>
            <w:r>
              <w:rPr>
                <w:rFonts w:hint="eastAsia" w:ascii="Times New Roman" w:hAnsi="Times New Roman" w:eastAsia="仿宋_GB2312"/>
                <w:color w:val="000000" w:themeColor="text1"/>
                <w:sz w:val="24"/>
                <w:szCs w:val="24"/>
                <w14:textFill>
                  <w14:solidFill>
                    <w14:schemeClr w14:val="tx1"/>
                  </w14:solidFill>
                </w14:textFill>
              </w:rPr>
              <w:t>修改为“奶畜场环境质量应符合</w:t>
            </w:r>
            <w:r>
              <w:rPr>
                <w:rFonts w:ascii="Times New Roman" w:hAnsi="Times New Roman" w:eastAsia="仿宋_GB2312"/>
                <w:color w:val="000000" w:themeColor="text1"/>
                <w:sz w:val="24"/>
                <w:szCs w:val="24"/>
                <w14:textFill>
                  <w14:solidFill>
                    <w14:schemeClr w14:val="tx1"/>
                  </w14:solidFill>
                </w14:textFill>
              </w:rPr>
              <w:t>NY/T 1167的规定；大气应符合GB 3095的规定。</w:t>
            </w:r>
            <w:r>
              <w:rPr>
                <w:rFonts w:hint="eastAsia" w:ascii="Times New Roman" w:hAnsi="Times New Roman" w:eastAsia="仿宋_GB2312"/>
                <w:color w:val="000000" w:themeColor="text1"/>
                <w:sz w:val="24"/>
                <w:szCs w:val="24"/>
                <w14:textFill>
                  <w14:solidFill>
                    <w14:schemeClr w14:val="tx1"/>
                  </w14:solidFill>
                </w14:textFill>
              </w:rPr>
              <w:t>”。</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7</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4</w:t>
            </w:r>
            <w:r>
              <w:rPr>
                <w:rFonts w:ascii="Times New Roman" w:eastAsia="仿宋_GB2312"/>
                <w:color w:val="000000"/>
                <w:kern w:val="2"/>
                <w:sz w:val="24"/>
                <w:szCs w:val="24"/>
              </w:rPr>
              <w:t>.2</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修改为“奶畜饮用水中铅含量应小于</w:t>
            </w:r>
            <w:r>
              <w:rPr>
                <w:rFonts w:ascii="Times New Roman" w:hAnsi="Times New Roman" w:eastAsia="仿宋_GB2312"/>
                <w:color w:val="000000"/>
                <w:sz w:val="24"/>
                <w:szCs w:val="24"/>
              </w:rPr>
              <w:t>0.01 mg/L</w:t>
            </w:r>
            <w:r>
              <w:rPr>
                <w:rFonts w:hint="eastAsia" w:ascii="Times New Roman" w:hAnsi="Times New Roman" w:eastAsia="仿宋_GB2312"/>
                <w:color w:val="000000"/>
                <w:sz w:val="24"/>
                <w:szCs w:val="24"/>
              </w:rPr>
              <w:t>”。</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8</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4</w:t>
            </w:r>
            <w:r>
              <w:rPr>
                <w:rFonts w:ascii="Times New Roman" w:eastAsia="仿宋_GB2312"/>
                <w:color w:val="000000"/>
                <w:kern w:val="2"/>
                <w:sz w:val="24"/>
                <w:szCs w:val="24"/>
              </w:rPr>
              <w:t>.3</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修改为“奶畜全混合日粮中铅含量（以干物质计）应小于或等于</w:t>
            </w:r>
            <w:r>
              <w:rPr>
                <w:rFonts w:ascii="Times New Roman" w:hAnsi="Times New Roman" w:eastAsia="仿宋_GB2312"/>
                <w:color w:val="000000" w:themeColor="text1"/>
                <w:sz w:val="24"/>
                <w:szCs w:val="24"/>
                <w14:textFill>
                  <w14:solidFill>
                    <w14:schemeClr w14:val="tx1"/>
                  </w14:solidFill>
                </w14:textFill>
              </w:rPr>
              <w:t>5 mg/kg。</w:t>
            </w:r>
            <w:r>
              <w:rPr>
                <w:rFonts w:hint="eastAsia" w:ascii="Times New Roman" w:hAnsi="Times New Roman" w:eastAsia="仿宋_GB2312"/>
                <w:color w:val="000000" w:themeColor="text1"/>
                <w:sz w:val="24"/>
                <w:szCs w:val="24"/>
                <w14:textFill>
                  <w14:solidFill>
                    <w14:schemeClr w14:val="tx1"/>
                  </w14:solidFill>
                </w14:textFill>
              </w:rPr>
              <w:t>”。</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9</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5.1</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修改为“挤乳机及管道中与生乳直接接触的塑料材料，铅含量应符合</w:t>
            </w:r>
            <w:r>
              <w:rPr>
                <w:rFonts w:ascii="Times New Roman" w:hAnsi="Times New Roman" w:eastAsia="仿宋_GB2312"/>
                <w:color w:val="000000" w:themeColor="text1"/>
                <w:sz w:val="24"/>
                <w:szCs w:val="24"/>
                <w14:textFill>
                  <w14:solidFill>
                    <w14:schemeClr w14:val="tx1"/>
                  </w14:solidFill>
                </w14:textFill>
              </w:rPr>
              <w:t>GB 4806.7的规定；金属材料的铅含量应符合GB 4806.9的规定。”</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0</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5</w:t>
            </w:r>
            <w:r>
              <w:rPr>
                <w:rFonts w:ascii="Times New Roman" w:eastAsia="仿宋_GB2312"/>
                <w:color w:val="000000"/>
                <w:kern w:val="2"/>
                <w:sz w:val="24"/>
                <w:szCs w:val="24"/>
              </w:rPr>
              <w:t>.2</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sz w:val="24"/>
                <w:szCs w:val="24"/>
              </w:rPr>
            </w:pPr>
            <w:r>
              <w:rPr>
                <w:rFonts w:hint="eastAsia" w:ascii="Times New Roman" w:hAnsi="Times New Roman" w:eastAsia="仿宋_GB2312"/>
                <w:color w:val="000000" w:themeColor="text1"/>
                <w:sz w:val="24"/>
                <w:szCs w:val="24"/>
                <w14:textFill>
                  <w14:solidFill>
                    <w14:schemeClr w14:val="tx1"/>
                  </w14:solidFill>
                </w14:textFill>
              </w:rPr>
              <w:t>修改为“挤乳机及管道消毒剂铅含量应小于或等于</w:t>
            </w:r>
            <w:r>
              <w:rPr>
                <w:rFonts w:ascii="Times New Roman" w:hAnsi="Times New Roman" w:eastAsia="仿宋_GB2312"/>
                <w:color w:val="000000" w:themeColor="text1"/>
                <w:sz w:val="24"/>
                <w:szCs w:val="24"/>
                <w14:textFill>
                  <w14:solidFill>
                    <w14:schemeClr w14:val="tx1"/>
                  </w14:solidFill>
                </w14:textFill>
              </w:rPr>
              <w:t>30 mg/kg</w:t>
            </w:r>
            <w:r>
              <w:rPr>
                <w:rFonts w:hint="eastAsia" w:ascii="Times New Roman" w:hAnsi="Times New Roman" w:eastAsia="仿宋_GB2312"/>
                <w:color w:val="000000" w:themeColor="text1"/>
                <w:sz w:val="24"/>
                <w:szCs w:val="24"/>
                <w14:textFill>
                  <w14:solidFill>
                    <w14:schemeClr w14:val="tx1"/>
                  </w14:solidFill>
                </w14:textFill>
              </w:rPr>
              <w:t xml:space="preserve"> 。”</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1</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5.3</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修改为“挤乳机及管道清洁用水铅含量应小于</w:t>
            </w:r>
            <w:r>
              <w:rPr>
                <w:rFonts w:ascii="Times New Roman" w:hAnsi="Times New Roman" w:eastAsia="仿宋_GB2312"/>
                <w:color w:val="000000" w:themeColor="text1"/>
                <w:sz w:val="24"/>
                <w:szCs w:val="24"/>
                <w14:textFill>
                  <w14:solidFill>
                    <w14:schemeClr w14:val="tx1"/>
                  </w14:solidFill>
                </w14:textFill>
              </w:rPr>
              <w:t>0.01 mg/L</w:t>
            </w:r>
            <w:r>
              <w:rPr>
                <w:rFonts w:hint="eastAsia" w:ascii="Times New Roman" w:hAnsi="Times New Roman" w:eastAsia="仿宋_GB2312"/>
                <w:color w:val="000000" w:themeColor="text1"/>
                <w:sz w:val="24"/>
                <w:szCs w:val="24"/>
                <w14:textFill>
                  <w14:solidFill>
                    <w14:schemeClr w14:val="tx1"/>
                  </w14:solidFill>
                </w14:textFill>
              </w:rPr>
              <w:t>。”</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2</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6</w:t>
            </w:r>
            <w:r>
              <w:rPr>
                <w:rFonts w:ascii="Times New Roman" w:eastAsia="仿宋_GB2312"/>
                <w:color w:val="000000"/>
                <w:kern w:val="2"/>
                <w:sz w:val="24"/>
                <w:szCs w:val="24"/>
              </w:rPr>
              <w:t>.1</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修改为“生乳贮存、运输应配备直冷式或带有制冷系统的不锈钢贮奶罐，容器内部使用材料应符合</w:t>
            </w:r>
            <w:r>
              <w:rPr>
                <w:rFonts w:ascii="Times New Roman" w:hAnsi="Times New Roman" w:eastAsia="仿宋_GB2312"/>
                <w:color w:val="000000" w:themeColor="text1"/>
                <w:sz w:val="24"/>
                <w:szCs w:val="24"/>
                <w14:textFill>
                  <w14:solidFill>
                    <w14:schemeClr w14:val="tx1"/>
                  </w14:solidFill>
                </w14:textFill>
              </w:rPr>
              <w:t>GB 4806.9的规定</w:t>
            </w:r>
            <w:r>
              <w:rPr>
                <w:rFonts w:hint="eastAsia" w:ascii="Times New Roman" w:hAnsi="Times New Roman" w:eastAsia="仿宋_GB2312"/>
                <w:color w:val="000000" w:themeColor="text1"/>
                <w:sz w:val="24"/>
                <w:szCs w:val="24"/>
                <w14:textFill>
                  <w14:solidFill>
                    <w14:schemeClr w14:val="tx1"/>
                  </w14:solidFill>
                </w14:textFill>
              </w:rPr>
              <w:t>。”</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3</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6</w:t>
            </w:r>
            <w:r>
              <w:rPr>
                <w:rFonts w:ascii="Times New Roman" w:eastAsia="仿宋_GB2312"/>
                <w:color w:val="000000"/>
                <w:kern w:val="2"/>
                <w:sz w:val="24"/>
                <w:szCs w:val="24"/>
              </w:rPr>
              <w:t>.2</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修改为“消毒剂铅含量应小于或等于</w:t>
            </w:r>
            <w:r>
              <w:rPr>
                <w:rFonts w:ascii="Times New Roman" w:hAnsi="Times New Roman" w:eastAsia="仿宋_GB2312"/>
                <w:color w:val="000000"/>
                <w:sz w:val="24"/>
                <w:szCs w:val="24"/>
              </w:rPr>
              <w:t>30 mg/kg</w:t>
            </w:r>
            <w:r>
              <w:rPr>
                <w:rFonts w:hint="eastAsia" w:ascii="Times New Roman" w:hAnsi="Times New Roman" w:eastAsia="仿宋_GB2312"/>
                <w:color w:val="000000"/>
                <w:sz w:val="24"/>
                <w:szCs w:val="24"/>
              </w:rPr>
              <w:t>”。</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4</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6.3</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“&lt;</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修改为“小于”</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5</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7</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删除第七章。</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6</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ascii="Times New Roman" w:eastAsia="仿宋_GB2312"/>
                <w:color w:val="000000"/>
                <w:kern w:val="2"/>
                <w:sz w:val="24"/>
                <w:szCs w:val="24"/>
              </w:rPr>
              <w:t>8.1</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修改为“生乳中铅的测定方法按照</w:t>
            </w:r>
            <w:r>
              <w:rPr>
                <w:rFonts w:ascii="Times New Roman" w:hAnsi="Times New Roman" w:eastAsia="仿宋_GB2312"/>
                <w:color w:val="000000"/>
                <w:sz w:val="24"/>
                <w:szCs w:val="24"/>
              </w:rPr>
              <w:t>GB 5009.12</w:t>
            </w:r>
            <w:r>
              <w:rPr>
                <w:rFonts w:hint="eastAsia" w:ascii="Times New Roman" w:hAnsi="Times New Roman" w:eastAsia="仿宋_GB2312"/>
                <w:color w:val="000000"/>
                <w:sz w:val="24"/>
                <w:szCs w:val="24"/>
              </w:rPr>
              <w:t>执行”</w:t>
            </w:r>
            <w:r>
              <w:rPr>
                <w:rFonts w:ascii="Times New Roman" w:hAnsi="Times New Roman" w:eastAsia="仿宋_GB2312"/>
                <w:color w:val="000000"/>
                <w:sz w:val="24"/>
                <w:szCs w:val="24"/>
              </w:rPr>
              <w:t>。</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04"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w:t>
            </w:r>
            <w:r>
              <w:rPr>
                <w:rFonts w:ascii="Times New Roman" w:hAnsi="Times New Roman" w:eastAsia="仿宋_GB2312"/>
                <w:color w:val="000000"/>
                <w:sz w:val="24"/>
                <w:szCs w:val="24"/>
              </w:rPr>
              <w:t>7</w:t>
            </w:r>
          </w:p>
        </w:tc>
        <w:tc>
          <w:tcPr>
            <w:tcW w:w="1531" w:type="dxa"/>
            <w:vAlign w:val="center"/>
          </w:tcPr>
          <w:p>
            <w:pPr>
              <w:pStyle w:val="26"/>
              <w:pageBreakBefore w:val="0"/>
              <w:numPr>
                <w:ilvl w:val="0"/>
                <w:numId w:val="0"/>
              </w:numPr>
              <w:kinsoku/>
              <w:wordWrap/>
              <w:overflowPunct/>
              <w:topLinePunct w:val="0"/>
              <w:autoSpaceDE/>
              <w:autoSpaceDN w:val="0"/>
              <w:bidi w:val="0"/>
              <w:spacing w:before="0" w:beforeLines="0" w:after="0" w:afterLines="0" w:line="360" w:lineRule="auto"/>
              <w:ind w:leftChars="0"/>
              <w:textAlignment w:val="auto"/>
              <w:rPr>
                <w:rFonts w:ascii="Times New Roman" w:eastAsia="仿宋_GB2312"/>
                <w:color w:val="000000"/>
                <w:kern w:val="2"/>
                <w:sz w:val="24"/>
                <w:szCs w:val="24"/>
              </w:rPr>
            </w:pPr>
            <w:r>
              <w:rPr>
                <w:rFonts w:hint="eastAsia" w:ascii="Times New Roman" w:eastAsia="仿宋_GB2312"/>
                <w:color w:val="000000"/>
                <w:kern w:val="2"/>
                <w:sz w:val="24"/>
                <w:szCs w:val="24"/>
              </w:rPr>
              <w:t>编制说明</w:t>
            </w:r>
          </w:p>
        </w:tc>
        <w:tc>
          <w:tcPr>
            <w:tcW w:w="6804" w:type="dxa"/>
            <w:vAlign w:val="center"/>
          </w:tcPr>
          <w:p>
            <w:pPr>
              <w:pageBreakBefore w:val="0"/>
              <w:kinsoku/>
              <w:wordWrap/>
              <w:overflowPunct/>
              <w:topLinePunct w:val="0"/>
              <w:autoSpaceDE/>
              <w:bidi w:val="0"/>
              <w:spacing w:line="360" w:lineRule="auto"/>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修改完善第七章节的表述。</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专家组</w:t>
            </w:r>
          </w:p>
        </w:tc>
        <w:tc>
          <w:tcPr>
            <w:tcW w:w="1559" w:type="dxa"/>
            <w:vAlign w:val="center"/>
          </w:tcPr>
          <w:p>
            <w:pPr>
              <w:pageBreakBefore w:val="0"/>
              <w:kinsoku/>
              <w:wordWrap/>
              <w:overflowPunct/>
              <w:topLinePunct w:val="0"/>
              <w:autoSpaceDE/>
              <w:bidi w:val="0"/>
              <w:snapToGrid w:val="0"/>
              <w:spacing w:line="360" w:lineRule="auto"/>
              <w:jc w:val="center"/>
              <w:textAlignment w:val="auto"/>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采纳</w:t>
            </w:r>
          </w:p>
        </w:tc>
        <w:tc>
          <w:tcPr>
            <w:tcW w:w="1418" w:type="dxa"/>
            <w:vAlign w:val="center"/>
          </w:tcPr>
          <w:p>
            <w:pPr>
              <w:pageBreakBefore w:val="0"/>
              <w:kinsoku/>
              <w:wordWrap/>
              <w:overflowPunct/>
              <w:topLinePunct w:val="0"/>
              <w:autoSpaceDE/>
              <w:bidi w:val="0"/>
              <w:snapToGrid w:val="0"/>
              <w:spacing w:line="360" w:lineRule="auto"/>
              <w:jc w:val="left"/>
              <w:textAlignment w:val="auto"/>
              <w:rPr>
                <w:rFonts w:ascii="Times New Roman" w:hAnsi="Times New Roman" w:eastAsia="仿宋_GB2312"/>
                <w:color w:val="000000"/>
                <w:sz w:val="24"/>
                <w:szCs w:val="24"/>
              </w:rPr>
            </w:pPr>
          </w:p>
        </w:tc>
      </w:tr>
    </w:tbl>
    <w:p>
      <w:pPr>
        <w:pageBreakBefore w:val="0"/>
        <w:kinsoku/>
        <w:wordWrap/>
        <w:overflowPunct/>
        <w:topLinePunct w:val="0"/>
        <w:autoSpaceDE/>
        <w:bidi w:val="0"/>
        <w:spacing w:line="360" w:lineRule="auto"/>
        <w:ind w:firstLine="280" w:firstLineChars="100"/>
        <w:textAlignment w:val="auto"/>
        <w:rPr>
          <w:rFonts w:ascii="Times New Roman" w:hAnsi="Times New Roman" w:eastAsia="仿宋_GB2312"/>
          <w:color w:val="000000"/>
          <w:sz w:val="28"/>
          <w:szCs w:val="28"/>
        </w:rPr>
      </w:pPr>
      <w:r>
        <w:rPr>
          <w:rFonts w:hint="eastAsia" w:ascii="Times New Roman" w:hAnsi="Times New Roman" w:eastAsia="仿宋_GB2312"/>
          <w:color w:val="000000"/>
          <w:sz w:val="28"/>
          <w:szCs w:val="28"/>
        </w:rPr>
        <w:t>说明：意见共计</w:t>
      </w:r>
      <w:r>
        <w:rPr>
          <w:rFonts w:ascii="Times New Roman" w:hAnsi="Times New Roman" w:eastAsia="仿宋_GB2312"/>
          <w:color w:val="000000"/>
          <w:sz w:val="28"/>
          <w:szCs w:val="28"/>
        </w:rPr>
        <w:t>17条，</w:t>
      </w:r>
      <w:r>
        <w:rPr>
          <w:rFonts w:hint="eastAsia" w:ascii="Times New Roman" w:hAnsi="Times New Roman" w:eastAsia="仿宋_GB2312"/>
          <w:color w:val="000000"/>
          <w:sz w:val="28"/>
          <w:szCs w:val="28"/>
        </w:rPr>
        <w:t>全部</w:t>
      </w:r>
      <w:r>
        <w:rPr>
          <w:rFonts w:ascii="Times New Roman" w:hAnsi="Times New Roman" w:eastAsia="仿宋_GB2312"/>
          <w:color w:val="000000"/>
          <w:sz w:val="28"/>
          <w:szCs w:val="28"/>
        </w:rPr>
        <w:t>采纳。</w:t>
      </w:r>
    </w:p>
    <w:p>
      <w:pPr>
        <w:pageBreakBefore w:val="0"/>
        <w:kinsoku/>
        <w:wordWrap/>
        <w:overflowPunct/>
        <w:topLinePunct w:val="0"/>
        <w:autoSpaceDE/>
        <w:bidi w:val="0"/>
        <w:spacing w:line="360" w:lineRule="auto"/>
        <w:jc w:val="left"/>
        <w:textAlignment w:val="auto"/>
        <w:rPr>
          <w:rFonts w:ascii="Times New Roman" w:hAnsi="Times New Roman" w:eastAsia="仿宋_GB2312"/>
          <w:color w:val="000000"/>
          <w:sz w:val="28"/>
          <w:szCs w:val="28"/>
        </w:rPr>
      </w:pPr>
      <w:r>
        <w:rPr>
          <w:rFonts w:ascii="Times New Roman" w:hAnsi="Times New Roman" w:eastAsia="宋体"/>
          <w:sz w:val="36"/>
          <w:szCs w:val="40"/>
        </w:rPr>
        <w:t xml:space="preserve">                                                 </w:t>
      </w:r>
    </w:p>
    <w:p>
      <w:pPr>
        <w:pageBreakBefore w:val="0"/>
        <w:kinsoku/>
        <w:wordWrap/>
        <w:overflowPunct/>
        <w:topLinePunct w:val="0"/>
        <w:autoSpaceDE/>
        <w:bidi w:val="0"/>
        <w:spacing w:line="360" w:lineRule="auto"/>
        <w:ind w:firstLine="420"/>
        <w:textAlignment w:val="auto"/>
        <w:rPr>
          <w:sz w:val="20"/>
          <w:szCs w:val="20"/>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8834721"/>
      <w:docPartObj>
        <w:docPartGallery w:val="autotext"/>
      </w:docPartObj>
    </w:sdtPr>
    <w:sdtContent>
      <w:p>
        <w:pPr>
          <w:pStyle w:val="6"/>
          <w:jc w:val="center"/>
        </w:pP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sdt>
      <w:sdtPr>
        <w:id w:val="-1118834721"/>
        <w:docPartObj>
          <w:docPartGallery w:val="autotext"/>
        </w:docPartObj>
      </w:sdtPr>
      <w:sdtContent/>
    </w:sdt>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89E252"/>
    <w:multiLevelType w:val="singleLevel"/>
    <w:tmpl w:val="F089E252"/>
    <w:lvl w:ilvl="0" w:tentative="0">
      <w:start w:val="2"/>
      <w:numFmt w:val="decimal"/>
      <w:suff w:val="space"/>
      <w:lvlText w:val="%1."/>
      <w:lvlJc w:val="left"/>
    </w:lvl>
  </w:abstractNum>
  <w:abstractNum w:abstractNumId="1">
    <w:nsid w:val="F6FEAEFF"/>
    <w:multiLevelType w:val="singleLevel"/>
    <w:tmpl w:val="F6FEAEFF"/>
    <w:lvl w:ilvl="0" w:tentative="0">
      <w:start w:val="8"/>
      <w:numFmt w:val="decimal"/>
      <w:suff w:val="space"/>
      <w:lvlText w:val="%1."/>
      <w:lvlJc w:val="left"/>
    </w:lvl>
  </w:abstractNum>
  <w:abstractNum w:abstractNumId="2">
    <w:nsid w:val="1FC91163"/>
    <w:multiLevelType w:val="multilevel"/>
    <w:tmpl w:val="1FC91163"/>
    <w:lvl w:ilvl="0" w:tentative="0">
      <w:start w:val="1"/>
      <w:numFmt w:val="decimal"/>
      <w:pStyle w:val="2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7"/>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8"/>
      <w:suff w:val="nothing"/>
      <w:lvlText w:val="%1.%2.%3.%4.%5　"/>
      <w:lvlJc w:val="left"/>
      <w:pPr>
        <w:ind w:left="0" w:firstLine="0"/>
      </w:pPr>
      <w:rPr>
        <w:rFonts w:hint="eastAsia" w:ascii="黑体" w:hAnsi="Times New Roman" w:eastAsia="黑体"/>
        <w:b w:val="0"/>
        <w:i w:val="0"/>
        <w:sz w:val="21"/>
      </w:rPr>
    </w:lvl>
    <w:lvl w:ilvl="5" w:tentative="0">
      <w:start w:val="1"/>
      <w:numFmt w:val="decimal"/>
      <w:pStyle w:val="2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A751FC"/>
    <w:rsid w:val="00000086"/>
    <w:rsid w:val="00007675"/>
    <w:rsid w:val="000217DB"/>
    <w:rsid w:val="000855D9"/>
    <w:rsid w:val="000A469B"/>
    <w:rsid w:val="000C6DD1"/>
    <w:rsid w:val="00127421"/>
    <w:rsid w:val="001566BC"/>
    <w:rsid w:val="00173F97"/>
    <w:rsid w:val="001A0A02"/>
    <w:rsid w:val="001B7920"/>
    <w:rsid w:val="001C126D"/>
    <w:rsid w:val="001C74EB"/>
    <w:rsid w:val="001D1AB0"/>
    <w:rsid w:val="002019A5"/>
    <w:rsid w:val="0021351E"/>
    <w:rsid w:val="00236377"/>
    <w:rsid w:val="002453BB"/>
    <w:rsid w:val="00270A26"/>
    <w:rsid w:val="002F0EC2"/>
    <w:rsid w:val="002F3D3F"/>
    <w:rsid w:val="00307C56"/>
    <w:rsid w:val="003138E7"/>
    <w:rsid w:val="00325A38"/>
    <w:rsid w:val="00347822"/>
    <w:rsid w:val="003546A5"/>
    <w:rsid w:val="003901FB"/>
    <w:rsid w:val="00395F58"/>
    <w:rsid w:val="003A4109"/>
    <w:rsid w:val="003B5423"/>
    <w:rsid w:val="003D449C"/>
    <w:rsid w:val="003E39E6"/>
    <w:rsid w:val="00425380"/>
    <w:rsid w:val="00432FB4"/>
    <w:rsid w:val="00437267"/>
    <w:rsid w:val="0044073C"/>
    <w:rsid w:val="00450467"/>
    <w:rsid w:val="0047706F"/>
    <w:rsid w:val="0049732C"/>
    <w:rsid w:val="004A48D0"/>
    <w:rsid w:val="004C0F89"/>
    <w:rsid w:val="004C55C4"/>
    <w:rsid w:val="004E35EA"/>
    <w:rsid w:val="00501BAB"/>
    <w:rsid w:val="00504E5D"/>
    <w:rsid w:val="00513817"/>
    <w:rsid w:val="0052435B"/>
    <w:rsid w:val="00590705"/>
    <w:rsid w:val="005B455A"/>
    <w:rsid w:val="005C719E"/>
    <w:rsid w:val="005D44D7"/>
    <w:rsid w:val="00621FD3"/>
    <w:rsid w:val="00631206"/>
    <w:rsid w:val="00632CCB"/>
    <w:rsid w:val="006345AD"/>
    <w:rsid w:val="0067541E"/>
    <w:rsid w:val="00682A9E"/>
    <w:rsid w:val="00685632"/>
    <w:rsid w:val="006B0E5C"/>
    <w:rsid w:val="006B3373"/>
    <w:rsid w:val="006C1B5A"/>
    <w:rsid w:val="006D03BA"/>
    <w:rsid w:val="006D6340"/>
    <w:rsid w:val="006F29CC"/>
    <w:rsid w:val="006F76D7"/>
    <w:rsid w:val="00715DF2"/>
    <w:rsid w:val="00733DB9"/>
    <w:rsid w:val="00733E5F"/>
    <w:rsid w:val="00741797"/>
    <w:rsid w:val="00743DF8"/>
    <w:rsid w:val="00751CA1"/>
    <w:rsid w:val="00772A6B"/>
    <w:rsid w:val="007A3C30"/>
    <w:rsid w:val="007B5ED1"/>
    <w:rsid w:val="007D7552"/>
    <w:rsid w:val="00804198"/>
    <w:rsid w:val="00812940"/>
    <w:rsid w:val="00814371"/>
    <w:rsid w:val="00851AC0"/>
    <w:rsid w:val="00862295"/>
    <w:rsid w:val="00872BA7"/>
    <w:rsid w:val="00885234"/>
    <w:rsid w:val="008D26D5"/>
    <w:rsid w:val="008D4F91"/>
    <w:rsid w:val="008E1AB7"/>
    <w:rsid w:val="008E4CC0"/>
    <w:rsid w:val="008F36B0"/>
    <w:rsid w:val="00936DDC"/>
    <w:rsid w:val="00943CEF"/>
    <w:rsid w:val="009609BB"/>
    <w:rsid w:val="00962972"/>
    <w:rsid w:val="0099160A"/>
    <w:rsid w:val="0099187C"/>
    <w:rsid w:val="009B0431"/>
    <w:rsid w:val="009D638B"/>
    <w:rsid w:val="009D7DA4"/>
    <w:rsid w:val="00A25320"/>
    <w:rsid w:val="00A26F71"/>
    <w:rsid w:val="00A5007D"/>
    <w:rsid w:val="00A540EC"/>
    <w:rsid w:val="00A703DB"/>
    <w:rsid w:val="00A76886"/>
    <w:rsid w:val="00A94582"/>
    <w:rsid w:val="00AA4755"/>
    <w:rsid w:val="00AB596E"/>
    <w:rsid w:val="00AC37C3"/>
    <w:rsid w:val="00B35922"/>
    <w:rsid w:val="00BD2311"/>
    <w:rsid w:val="00BE18FE"/>
    <w:rsid w:val="00BF3602"/>
    <w:rsid w:val="00C95760"/>
    <w:rsid w:val="00CA3279"/>
    <w:rsid w:val="00CB26F6"/>
    <w:rsid w:val="00CD0767"/>
    <w:rsid w:val="00CE2480"/>
    <w:rsid w:val="00D1091A"/>
    <w:rsid w:val="00D912B2"/>
    <w:rsid w:val="00DA37F2"/>
    <w:rsid w:val="00DA3A60"/>
    <w:rsid w:val="00E07E5A"/>
    <w:rsid w:val="00E11490"/>
    <w:rsid w:val="00E20E0B"/>
    <w:rsid w:val="00E4535B"/>
    <w:rsid w:val="00E713D5"/>
    <w:rsid w:val="00EB1DE7"/>
    <w:rsid w:val="00EB58D0"/>
    <w:rsid w:val="00ED01D8"/>
    <w:rsid w:val="00EE262F"/>
    <w:rsid w:val="00F12273"/>
    <w:rsid w:val="00F35AE3"/>
    <w:rsid w:val="00FC3F20"/>
    <w:rsid w:val="00FD0C15"/>
    <w:rsid w:val="00FE507B"/>
    <w:rsid w:val="00FF5202"/>
    <w:rsid w:val="07F22581"/>
    <w:rsid w:val="08136AAA"/>
    <w:rsid w:val="088370DE"/>
    <w:rsid w:val="0F757D1B"/>
    <w:rsid w:val="123C1820"/>
    <w:rsid w:val="12F71682"/>
    <w:rsid w:val="13F111A4"/>
    <w:rsid w:val="157B57FF"/>
    <w:rsid w:val="16091125"/>
    <w:rsid w:val="18675194"/>
    <w:rsid w:val="18F63C9B"/>
    <w:rsid w:val="1A8B5E6F"/>
    <w:rsid w:val="1A8D0E00"/>
    <w:rsid w:val="1AC67053"/>
    <w:rsid w:val="1AE546B9"/>
    <w:rsid w:val="1CC40C1D"/>
    <w:rsid w:val="1D8069A2"/>
    <w:rsid w:val="1E0B5246"/>
    <w:rsid w:val="209E0D52"/>
    <w:rsid w:val="21217989"/>
    <w:rsid w:val="218C413D"/>
    <w:rsid w:val="22A751FC"/>
    <w:rsid w:val="23EC55B2"/>
    <w:rsid w:val="249171AF"/>
    <w:rsid w:val="28AA5D4D"/>
    <w:rsid w:val="28F60FCD"/>
    <w:rsid w:val="2A6E0A14"/>
    <w:rsid w:val="2FD116ED"/>
    <w:rsid w:val="2FE97DB6"/>
    <w:rsid w:val="32054E4B"/>
    <w:rsid w:val="34D27AAC"/>
    <w:rsid w:val="350E5DAF"/>
    <w:rsid w:val="36454940"/>
    <w:rsid w:val="3B547132"/>
    <w:rsid w:val="3F124E10"/>
    <w:rsid w:val="3F8E0FD2"/>
    <w:rsid w:val="430B2729"/>
    <w:rsid w:val="45B82295"/>
    <w:rsid w:val="470C272D"/>
    <w:rsid w:val="4A266C5F"/>
    <w:rsid w:val="4AFB79A1"/>
    <w:rsid w:val="4B587B75"/>
    <w:rsid w:val="4B6B0F4E"/>
    <w:rsid w:val="4BCA3802"/>
    <w:rsid w:val="4CA60AB2"/>
    <w:rsid w:val="4DEF230B"/>
    <w:rsid w:val="4F4E7B8E"/>
    <w:rsid w:val="52197F39"/>
    <w:rsid w:val="551E1E2A"/>
    <w:rsid w:val="5B0A34E7"/>
    <w:rsid w:val="5E7F0087"/>
    <w:rsid w:val="61AC071D"/>
    <w:rsid w:val="657936D4"/>
    <w:rsid w:val="67C67A99"/>
    <w:rsid w:val="69677DFE"/>
    <w:rsid w:val="6F597AEC"/>
    <w:rsid w:val="70002AE5"/>
    <w:rsid w:val="71463FEB"/>
    <w:rsid w:val="733D7FE3"/>
    <w:rsid w:val="793B694A"/>
    <w:rsid w:val="7B914152"/>
    <w:rsid w:val="7CE0418A"/>
    <w:rsid w:val="7DDB1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等线 Light" w:hAnsi="等线 Light" w:eastAsia="等线 Light" w:cs="Times New Roman"/>
      <w:b/>
      <w:bCs/>
      <w:sz w:val="32"/>
      <w:szCs w:val="32"/>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qFormat/>
    <w:uiPriority w:val="0"/>
  </w:style>
  <w:style w:type="paragraph" w:styleId="5">
    <w:name w:val="Balloon Text"/>
    <w:basedOn w:val="1"/>
    <w:link w:val="22"/>
    <w:qFormat/>
    <w:uiPriority w:val="0"/>
    <w:rPr>
      <w:sz w:val="18"/>
      <w:szCs w:val="18"/>
    </w:rPr>
  </w:style>
  <w:style w:type="paragraph" w:styleId="6">
    <w:name w:val="footer"/>
    <w:basedOn w:val="1"/>
    <w:link w:val="23"/>
    <w:qFormat/>
    <w:uiPriority w:val="99"/>
    <w:pPr>
      <w:tabs>
        <w:tab w:val="center" w:pos="4153"/>
        <w:tab w:val="right" w:pos="8306"/>
      </w:tabs>
      <w:snapToGrid w:val="0"/>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table of figures"/>
    <w:basedOn w:val="1"/>
    <w:next w:val="1"/>
    <w:qFormat/>
    <w:uiPriority w:val="0"/>
    <w:pPr>
      <w:ind w:left="200" w:leftChars="200" w:hanging="200" w:hangingChars="200"/>
    </w:pPr>
  </w:style>
  <w:style w:type="paragraph" w:styleId="9">
    <w:name w:val="annotation subject"/>
    <w:basedOn w:val="4"/>
    <w:next w:val="4"/>
    <w:link w:val="21"/>
    <w:qFormat/>
    <w:uiPriority w:val="0"/>
    <w:rPr>
      <w:b/>
      <w:bCs/>
    </w:rPr>
  </w:style>
  <w:style w:type="table" w:styleId="11">
    <w:name w:val="Table Grid"/>
    <w:basedOn w:val="10"/>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styleId="14">
    <w:name w:val="List Paragraph"/>
    <w:basedOn w:val="1"/>
    <w:qFormat/>
    <w:uiPriority w:val="99"/>
    <w:pPr>
      <w:ind w:firstLine="420" w:firstLineChars="200"/>
    </w:pPr>
  </w:style>
  <w:style w:type="paragraph" w:customStyle="1" w:styleId="15">
    <w:name w:val="封面标准英文名称"/>
    <w:basedOn w:val="16"/>
    <w:qFormat/>
    <w:uiPriority w:val="0"/>
    <w:pPr>
      <w:framePr w:wrap="around"/>
      <w:spacing w:before="370" w:line="400" w:lineRule="exact"/>
    </w:pPr>
    <w:rPr>
      <w:rFonts w:ascii="Times New Roman"/>
      <w:sz w:val="28"/>
      <w:szCs w:val="28"/>
    </w:rPr>
  </w:style>
  <w:style w:type="paragraph" w:customStyle="1" w:styleId="1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17">
    <w:name w:val="页眉 Char"/>
    <w:basedOn w:val="12"/>
    <w:link w:val="7"/>
    <w:qFormat/>
    <w:uiPriority w:val="0"/>
    <w:rPr>
      <w:rFonts w:ascii="Times New Roman" w:hAnsi="Times New Roman" w:eastAsia="宋体" w:cs="Times New Roman"/>
      <w:sz w:val="18"/>
      <w:szCs w:val="18"/>
    </w:rPr>
  </w:style>
  <w:style w:type="paragraph" w:customStyle="1" w:styleId="18">
    <w:name w:val="表格"/>
    <w:basedOn w:val="8"/>
    <w:next w:val="1"/>
    <w:link w:val="19"/>
    <w:qFormat/>
    <w:uiPriority w:val="0"/>
    <w:pPr>
      <w:widowControl w:val="0"/>
      <w:ind w:left="0" w:leftChars="0" w:firstLine="0" w:firstLineChars="0"/>
      <w:jc w:val="center"/>
    </w:pPr>
    <w:rPr>
      <w:rFonts w:cstheme="minorBidi"/>
      <w:kern w:val="2"/>
      <w:sz w:val="21"/>
      <w:szCs w:val="21"/>
    </w:rPr>
  </w:style>
  <w:style w:type="character" w:customStyle="1" w:styleId="19">
    <w:name w:val="表格 Char"/>
    <w:basedOn w:val="12"/>
    <w:link w:val="18"/>
    <w:qFormat/>
    <w:uiPriority w:val="0"/>
    <w:rPr>
      <w:rFonts w:ascii="Times New Roman" w:hAnsi="Times New Roman" w:eastAsia="宋体"/>
      <w:kern w:val="2"/>
      <w:sz w:val="21"/>
      <w:szCs w:val="21"/>
    </w:rPr>
  </w:style>
  <w:style w:type="character" w:customStyle="1" w:styleId="20">
    <w:name w:val="批注文字 Char"/>
    <w:basedOn w:val="12"/>
    <w:link w:val="4"/>
    <w:qFormat/>
    <w:uiPriority w:val="0"/>
    <w:rPr>
      <w:rFonts w:ascii="Times New Roman" w:hAnsi="Times New Roman" w:eastAsia="宋体" w:cs="Times New Roman"/>
      <w:sz w:val="24"/>
      <w:szCs w:val="24"/>
    </w:rPr>
  </w:style>
  <w:style w:type="character" w:customStyle="1" w:styleId="21">
    <w:name w:val="批注主题 Char"/>
    <w:basedOn w:val="20"/>
    <w:link w:val="9"/>
    <w:qFormat/>
    <w:uiPriority w:val="0"/>
    <w:rPr>
      <w:rFonts w:ascii="Times New Roman" w:hAnsi="Times New Roman" w:eastAsia="宋体" w:cs="Times New Roman"/>
      <w:b/>
      <w:bCs/>
      <w:sz w:val="24"/>
      <w:szCs w:val="24"/>
    </w:rPr>
  </w:style>
  <w:style w:type="character" w:customStyle="1" w:styleId="22">
    <w:name w:val="批注框文本 Char"/>
    <w:basedOn w:val="12"/>
    <w:link w:val="5"/>
    <w:qFormat/>
    <w:uiPriority w:val="0"/>
    <w:rPr>
      <w:rFonts w:ascii="Times New Roman" w:hAnsi="Times New Roman" w:eastAsia="宋体" w:cs="Times New Roman"/>
      <w:sz w:val="18"/>
      <w:szCs w:val="18"/>
    </w:rPr>
  </w:style>
  <w:style w:type="character" w:customStyle="1" w:styleId="23">
    <w:name w:val="页脚 Char"/>
    <w:basedOn w:val="12"/>
    <w:link w:val="6"/>
    <w:qFormat/>
    <w:uiPriority w:val="99"/>
    <w:rPr>
      <w:rFonts w:ascii="Times New Roman" w:hAnsi="Times New Roman" w:eastAsia="宋体" w:cs="Times New Roman"/>
      <w:sz w:val="18"/>
      <w:szCs w:val="18"/>
    </w:rPr>
  </w:style>
  <w:style w:type="paragraph" w:customStyle="1" w:styleId="24">
    <w:name w:val="一级条标题"/>
    <w:next w:val="25"/>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6">
    <w:name w:val="章标题"/>
    <w:next w:val="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7">
    <w:name w:val="二级条标题"/>
    <w:basedOn w:val="24"/>
    <w:next w:val="1"/>
    <w:qFormat/>
    <w:uiPriority w:val="0"/>
    <w:pPr>
      <w:numPr>
        <w:ilvl w:val="2"/>
      </w:numPr>
      <w:spacing w:before="50" w:after="50"/>
      <w:outlineLvl w:val="3"/>
    </w:pPr>
  </w:style>
  <w:style w:type="paragraph" w:customStyle="1" w:styleId="28">
    <w:name w:val="四级条标题"/>
    <w:basedOn w:val="1"/>
    <w:next w:val="1"/>
    <w:qFormat/>
    <w:uiPriority w:val="0"/>
    <w:pPr>
      <w:numPr>
        <w:ilvl w:val="4"/>
        <w:numId w:val="1"/>
      </w:numPr>
      <w:spacing w:before="50" w:beforeLines="50" w:after="50" w:afterLines="50"/>
      <w:outlineLvl w:val="5"/>
    </w:pPr>
    <w:rPr>
      <w:rFonts w:ascii="黑体" w:eastAsia="黑体"/>
      <w:sz w:val="21"/>
      <w:szCs w:val="21"/>
    </w:rPr>
  </w:style>
  <w:style w:type="paragraph" w:customStyle="1" w:styleId="29">
    <w:name w:val="五级条标题"/>
    <w:basedOn w:val="28"/>
    <w:next w:val="1"/>
    <w:qFormat/>
    <w:uiPriority w:val="0"/>
    <w:pPr>
      <w:numPr>
        <w:ilvl w:val="5"/>
      </w:numPr>
      <w:outlineLvl w:val="6"/>
    </w:pPr>
  </w:style>
  <w:style w:type="paragraph" w:customStyle="1" w:styleId="30">
    <w:name w:val="一级标题"/>
    <w:basedOn w:val="2"/>
    <w:next w:val="1"/>
    <w:qFormat/>
    <w:uiPriority w:val="0"/>
    <w:pPr>
      <w:keepNext w:val="0"/>
      <w:keepLines w:val="0"/>
      <w:adjustRightInd w:val="0"/>
      <w:snapToGrid w:val="0"/>
      <w:spacing w:before="100" w:beforeLines="100" w:after="100" w:afterLines="100" w:line="240" w:lineRule="auto"/>
      <w:ind w:firstLine="0" w:firstLineChars="0"/>
      <w:jc w:val="left"/>
    </w:pPr>
    <w:rPr>
      <w:rFonts w:hint="eastAsia" w:eastAsia="黑体"/>
      <w:b w:val="0"/>
      <w:bCs w:val="0"/>
      <w:sz w:val="32"/>
      <w:szCs w:val="30"/>
    </w:rPr>
  </w:style>
  <w:style w:type="paragraph" w:customStyle="1" w:styleId="31">
    <w:name w:val="二级标题"/>
    <w:basedOn w:val="3"/>
    <w:next w:val="1"/>
    <w:qFormat/>
    <w:uiPriority w:val="0"/>
    <w:pPr>
      <w:adjustRightInd w:val="0"/>
      <w:snapToGrid w:val="0"/>
      <w:spacing w:before="100" w:beforeLines="100" w:after="100" w:afterLines="100" w:line="240" w:lineRule="auto"/>
      <w:ind w:firstLine="0" w:firstLineChars="0"/>
    </w:pPr>
    <w:rPr>
      <w:rFonts w:ascii="黑体" w:hAnsi="黑体" w:eastAsia="黑体" w:cs="Times New Roman"/>
      <w:b w:val="0"/>
      <w:sz w:val="28"/>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A1B854-9BCA-424C-BB33-D962FD32CDAE}">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22</Pages>
  <Words>9136</Words>
  <Characters>11508</Characters>
  <Lines>75</Lines>
  <Paragraphs>21</Paragraphs>
  <TotalTime>9</TotalTime>
  <ScaleCrop>false</ScaleCrop>
  <LinksUpToDate>false</LinksUpToDate>
  <CharactersWithSpaces>12030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2021-07-08T02:26:00Z</dcterms:created>
  <dc:creator>刘慧敏</dc:creator>
  <cp:lastModifiedBy>张海燕</cp:lastModifiedBy>
  <cp:lastPrinted>2022-04-22T05:58:08Z</cp:lastPrinted>
  <dcterms:modified xsi:type="dcterms:W3CDTF">2022-04-22T05:59:33Z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023588C7E6634A97ACB6191410382469</vt:lpwstr>
  </property>
</Properties>
</file>